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D617E">
        <w:trPr>
          <w:trHeight w:val="2058"/>
        </w:trPr>
        <w:tc>
          <w:tcPr>
            <w:tcW w:w="4111" w:type="dxa"/>
            <w:shd w:val="clear" w:color="auto" w:fill="auto"/>
          </w:tcPr>
          <w:p w14:paraId="55688E69" w14:textId="58617C32" w:rsidR="00CF77E4" w:rsidRPr="00A93B23" w:rsidRDefault="00CF77E4" w:rsidP="00627BD7">
            <w:pPr>
              <w:ind w:right="-1"/>
              <w:rPr>
                <w:rFonts w:ascii="Tahoma" w:hAnsi="Tahoma" w:cs="Tahoma"/>
                <w:szCs w:val="24"/>
              </w:rPr>
            </w:pPr>
            <w:r w:rsidRPr="00627BD7">
              <w:rPr>
                <w:rFonts w:ascii="Tahoma" w:hAnsi="Tahoma" w:cs="Tahoma"/>
                <w:sz w:val="22"/>
                <w:szCs w:val="22"/>
              </w:rPr>
              <w:t xml:space="preserve">Предмет закупки (с указанием технических условий, отраслевых стандартов и стандартов предприятия, а также с указанием перечня и значений отдельных характеристик, которым должны соответствовать </w:t>
            </w:r>
            <w:r w:rsidR="00627BD7">
              <w:rPr>
                <w:rFonts w:ascii="Tahoma" w:hAnsi="Tahoma" w:cs="Tahoma"/>
                <w:sz w:val="22"/>
                <w:szCs w:val="22"/>
              </w:rPr>
              <w:t>работы</w:t>
            </w:r>
            <w:r w:rsidRPr="00627BD7">
              <w:rPr>
                <w:rFonts w:ascii="Tahoma" w:hAnsi="Tahoma" w:cs="Tahoma"/>
                <w:sz w:val="22"/>
                <w:szCs w:val="22"/>
              </w:rPr>
              <w:t>):</w:t>
            </w:r>
          </w:p>
        </w:tc>
        <w:tc>
          <w:tcPr>
            <w:tcW w:w="5103" w:type="dxa"/>
            <w:shd w:val="clear" w:color="auto" w:fill="auto"/>
          </w:tcPr>
          <w:p w14:paraId="4AC997AD" w14:textId="3E1A3CB2" w:rsidR="004616C6" w:rsidRDefault="004616C6" w:rsidP="004616C6">
            <w:pPr>
              <w:pStyle w:val="af8"/>
              <w:rPr>
                <w:szCs w:val="28"/>
              </w:rPr>
            </w:pPr>
            <w:r>
              <w:rPr>
                <w:szCs w:val="28"/>
              </w:rPr>
              <w:t>На выполнение</w:t>
            </w:r>
            <w:r w:rsidR="00056A9C">
              <w:rPr>
                <w:szCs w:val="28"/>
              </w:rPr>
              <w:t xml:space="preserve"> </w:t>
            </w:r>
            <w:r w:rsidR="00056A9C" w:rsidRPr="00056A9C">
              <w:rPr>
                <w:szCs w:val="28"/>
              </w:rPr>
              <w:t>пусконаладочных работ установок обратного осмоса Аквафлоу RO 80- 6,0 на КОС-446</w:t>
            </w:r>
            <w:r>
              <w:rPr>
                <w:szCs w:val="28"/>
              </w:rPr>
              <w:t xml:space="preserve"> </w:t>
            </w:r>
            <w:r w:rsidRPr="00C314E5">
              <w:rPr>
                <w:szCs w:val="28"/>
              </w:rPr>
              <w:t>для ООО «ГРК «Быстринское»</w:t>
            </w:r>
          </w:p>
          <w:p w14:paraId="0F974DB6" w14:textId="77777777" w:rsidR="00056A9C" w:rsidRPr="00056A9C" w:rsidRDefault="00056A9C" w:rsidP="00056A9C"/>
          <w:p w14:paraId="771C2889" w14:textId="77777777" w:rsidR="00DD617E" w:rsidRPr="00056A9C" w:rsidRDefault="00DD617E" w:rsidP="00DD617E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r w:rsidRPr="00627BD7">
              <w:rPr>
                <w:rFonts w:ascii="Tahoma" w:hAnsi="Tahoma" w:cs="Tahoma"/>
                <w:sz w:val="22"/>
                <w:szCs w:val="22"/>
              </w:rPr>
              <w:t>Технико – коммерческое предложение представлено Приложением №1 к заявке.</w:t>
            </w:r>
          </w:p>
          <w:p w14:paraId="76568B79" w14:textId="2772B87C" w:rsidR="00056A9C" w:rsidRPr="005A7AE2" w:rsidRDefault="00056A9C" w:rsidP="00056A9C">
            <w:pPr>
              <w:pStyle w:val="a3"/>
              <w:tabs>
                <w:tab w:val="left" w:pos="472"/>
              </w:tabs>
              <w:ind w:left="0"/>
              <w:rPr>
                <w:rFonts w:ascii="Tahoma" w:hAnsi="Tahoma" w:cs="Tahoma"/>
                <w:spacing w:val="-5"/>
                <w:szCs w:val="24"/>
              </w:rPr>
            </w:pP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614049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Должность (Подрядчик)   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2B254D29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9101B4C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9F41B95" w14:textId="04D30F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FFFC815" w14:textId="02AB9ACF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C5EAE20" w14:textId="274ABA9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E465AB" w14:textId="6D1D3EA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5F87F22" w14:textId="7931EA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F79473" w14:textId="5706C409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99B7951" w14:textId="1C89EF6C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2B2B149" w14:textId="4C48406B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C2F4D" w14:textId="2AEEEBC6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AD7C946" w14:textId="33513AB4" w:rsidR="00F35AE8" w:rsidRDefault="00F35AE8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E45CEAD" w14:textId="77777777" w:rsidR="00F35AE8" w:rsidRDefault="00F35AE8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44BA968" w14:textId="55AEBB38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B513547" w14:textId="6575A7C7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0B3B5390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0EFBFD2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9EB6C6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7BD6C1D0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78D63A60" w14:textId="77777777"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4D8A71C8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533BD7B4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Технико – коммерческое предложение</w:t>
      </w:r>
    </w:p>
    <w:p w14:paraId="39CEEA42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51FDC5F5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71189F4B" w14:textId="3D7AB966" w:rsidR="00B40980" w:rsidRPr="00056A9C" w:rsidRDefault="00056A9C" w:rsidP="00B40980">
      <w:pPr>
        <w:widowControl w:val="0"/>
        <w:jc w:val="center"/>
        <w:rPr>
          <w:rFonts w:ascii="Tahoma" w:hAnsi="Tahoma" w:cs="Tahoma"/>
        </w:rPr>
      </w:pPr>
      <w:r w:rsidRPr="00056A9C">
        <w:rPr>
          <w:rFonts w:ascii="Tahoma" w:hAnsi="Tahoma" w:cs="Tahoma"/>
        </w:rPr>
        <w:t>Выполнение пусконаладочных работ установок обратного осмоса Аквафлоу RO 80- 6,0 на КОС-446</w:t>
      </w:r>
      <w:r w:rsidR="004616C6" w:rsidRPr="004616C6">
        <w:rPr>
          <w:rFonts w:ascii="Tahoma" w:hAnsi="Tahoma" w:cs="Tahoma"/>
        </w:rPr>
        <w:t>для ООО «ГРК «Быстринское».</w:t>
      </w:r>
    </w:p>
    <w:p w14:paraId="21B1F350" w14:textId="77777777"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14:paraId="42CFFB96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50"/>
        <w:gridCol w:w="2156"/>
      </w:tblGrid>
      <w:tr w:rsidR="001163E1" w:rsidRPr="00CD1A16" w14:paraId="64E35A70" w14:textId="77777777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3FF373D2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9AF2051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14:paraId="4E77CC3F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D7559C" w:rsidRPr="00CD1A16" w14:paraId="412EF36E" w14:textId="77777777" w:rsidTr="00CA57F7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7907F42A" w14:textId="20720C7F" w:rsidR="00D7559C" w:rsidRPr="00DE4C24" w:rsidRDefault="00056A9C" w:rsidP="00DE4C24">
            <w:pPr>
              <w:pStyle w:val="af8"/>
            </w:pPr>
            <w:r w:rsidRPr="00056A9C">
              <w:t>Выполнение пусконаладочных работ установок обратного осмоса Аквафлоу RO 80- 6,0 на КОС-446</w:t>
            </w:r>
            <w:r w:rsidR="00DE4C24" w:rsidRPr="00DE4C24">
              <w:t xml:space="preserve"> для ООО «ГРК «Быстринское».</w:t>
            </w:r>
          </w:p>
        </w:tc>
      </w:tr>
      <w:tr w:rsidR="00D7559C" w:rsidRPr="00CD1A16" w14:paraId="530ADEAA" w14:textId="77777777" w:rsidTr="00DA2DF9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413DACAF" w14:textId="4BF80788" w:rsidR="00D7559C" w:rsidRPr="009D60EB" w:rsidRDefault="00D7559C" w:rsidP="000C39FB">
            <w:pPr>
              <w:ind w:right="565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944F1B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0C2B005" w14:textId="5A642087" w:rsidR="00D7559C" w:rsidRDefault="00D7559C" w:rsidP="00614049">
            <w:pPr>
              <w:ind w:right="565"/>
              <w:rPr>
                <w:rFonts w:ascii="Tahoma" w:hAnsi="Tahoma" w:cs="Tahoma"/>
                <w:sz w:val="22"/>
              </w:rPr>
            </w:pPr>
            <w:r w:rsidRPr="00944F1B">
              <w:rPr>
                <w:rFonts w:ascii="Tahoma" w:hAnsi="Tahoma" w:cs="Tahoma"/>
                <w:sz w:val="22"/>
              </w:rPr>
              <w:t xml:space="preserve">Указать общую стоимость </w:t>
            </w:r>
            <w:r w:rsidR="00614049">
              <w:rPr>
                <w:rFonts w:ascii="Tahoma" w:hAnsi="Tahoma" w:cs="Tahoma"/>
                <w:sz w:val="22"/>
              </w:rPr>
              <w:t>оказания услуг</w:t>
            </w:r>
            <w:r w:rsidR="00510AF2">
              <w:rPr>
                <w:rFonts w:ascii="Tahoma" w:hAnsi="Tahoma" w:cs="Tahoma"/>
                <w:sz w:val="22"/>
              </w:rPr>
              <w:t xml:space="preserve">, </w:t>
            </w:r>
            <w:r w:rsidR="00944F1B">
              <w:rPr>
                <w:rFonts w:ascii="Tahoma" w:hAnsi="Tahoma" w:cs="Tahoma"/>
                <w:sz w:val="22"/>
              </w:rPr>
              <w:t>валюта без НДС</w:t>
            </w:r>
            <w:r w:rsidR="00614049">
              <w:rPr>
                <w:rFonts w:ascii="Tahoma" w:hAnsi="Tahoma" w:cs="Tahoma"/>
                <w:sz w:val="22"/>
              </w:rPr>
              <w:t xml:space="preserve"> </w:t>
            </w:r>
          </w:p>
          <w:p w14:paraId="76169AB9" w14:textId="4E40B33C" w:rsidR="00614049" w:rsidRPr="009D60EB" w:rsidRDefault="00614049" w:rsidP="00614049">
            <w:pPr>
              <w:ind w:right="565"/>
              <w:rPr>
                <w:rFonts w:ascii="Tahoma" w:hAnsi="Tahoma" w:cs="Tahoma"/>
                <w:sz w:val="22"/>
                <w:highlight w:val="yellow"/>
              </w:rPr>
            </w:pPr>
          </w:p>
        </w:tc>
        <w:tc>
          <w:tcPr>
            <w:tcW w:w="2156" w:type="dxa"/>
            <w:vAlign w:val="center"/>
          </w:tcPr>
          <w:p w14:paraId="5C3AB3A6" w14:textId="775386B7" w:rsidR="00D7559C" w:rsidRPr="00CD1A16" w:rsidRDefault="00614049" w:rsidP="00614049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______руб. без НДС</w:t>
            </w:r>
          </w:p>
        </w:tc>
      </w:tr>
      <w:tr w:rsidR="00D7559C" w:rsidRPr="00CD1A16" w14:paraId="7414A9C2" w14:textId="77777777" w:rsidTr="00070486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5CE5B9C5" w14:textId="77777777" w:rsidR="00D7559C" w:rsidRPr="008718F1" w:rsidRDefault="00D7559C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8718F1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D7559C" w:rsidRPr="00CD1A16" w14:paraId="7D2D7DA8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57C16698" w14:textId="1F496974" w:rsidR="00D7559C" w:rsidRPr="00181FDE" w:rsidRDefault="00DE4C24" w:rsidP="00DE4C24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Работы </w:t>
            </w:r>
            <w:r w:rsidR="00D7559C" w:rsidRPr="00291B11">
              <w:rPr>
                <w:rFonts w:ascii="Tahoma" w:hAnsi="Tahoma" w:cs="Tahoma"/>
                <w:sz w:val="22"/>
                <w:szCs w:val="22"/>
              </w:rPr>
              <w:t xml:space="preserve">и требования к их </w:t>
            </w:r>
            <w:r>
              <w:rPr>
                <w:rFonts w:ascii="Tahoma" w:hAnsi="Tahoma" w:cs="Tahoma"/>
                <w:sz w:val="22"/>
                <w:szCs w:val="22"/>
              </w:rPr>
              <w:t>выполнению</w:t>
            </w:r>
            <w:r w:rsidR="00D7559C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3189BD72" w14:textId="7FC1A90E" w:rsidR="00D7559C" w:rsidRPr="008718F1" w:rsidRDefault="00D7559C" w:rsidP="00D7559C">
            <w:r w:rsidRPr="008718F1">
              <w:rPr>
                <w:rFonts w:ascii="Tahoma" w:hAnsi="Tahoma" w:cs="Tahoma"/>
                <w:bCs/>
                <w:sz w:val="22"/>
                <w:szCs w:val="24"/>
              </w:rPr>
              <w:t>Р</w:t>
            </w:r>
            <w:r w:rsidR="00305F53">
              <w:rPr>
                <w:rFonts w:ascii="Tahoma" w:hAnsi="Tahoma" w:cs="Tahoma"/>
                <w:bCs/>
                <w:sz w:val="22"/>
                <w:szCs w:val="24"/>
              </w:rPr>
              <w:t>аздел 2 Технического задания</w:t>
            </w:r>
          </w:p>
        </w:tc>
        <w:tc>
          <w:tcPr>
            <w:tcW w:w="2156" w:type="dxa"/>
            <w:shd w:val="clear" w:color="auto" w:fill="auto"/>
          </w:tcPr>
          <w:p w14:paraId="0C358B4B" w14:textId="77777777" w:rsidR="00D7559C" w:rsidRPr="00CD1A16" w:rsidRDefault="00D7559C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106008" w:rsidRPr="00CD1A16" w14:paraId="0B1F40E5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47FC57F3" w14:textId="035FC883" w:rsidR="00106008" w:rsidRPr="00106008" w:rsidRDefault="00106008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271BE">
              <w:rPr>
                <w:rFonts w:ascii="Tahoma" w:hAnsi="Tahoma" w:cs="Tahoma"/>
                <w:sz w:val="22"/>
                <w:szCs w:val="22"/>
              </w:rPr>
              <w:t>Форма, условия и сроки оплаты</w:t>
            </w:r>
          </w:p>
        </w:tc>
        <w:tc>
          <w:tcPr>
            <w:tcW w:w="3650" w:type="dxa"/>
            <w:shd w:val="clear" w:color="auto" w:fill="auto"/>
          </w:tcPr>
          <w:p w14:paraId="36C6D1C8" w14:textId="441A650C" w:rsidR="00106008" w:rsidRPr="008718F1" w:rsidRDefault="00106008" w:rsidP="00D7559C">
            <w:pPr>
              <w:rPr>
                <w:rFonts w:ascii="Tahoma" w:hAnsi="Tahoma" w:cs="Tahoma"/>
                <w:bCs/>
                <w:sz w:val="22"/>
                <w:szCs w:val="24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4</w:t>
            </w:r>
            <w:r w:rsidRPr="008718F1"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  <w:shd w:val="clear" w:color="auto" w:fill="auto"/>
          </w:tcPr>
          <w:p w14:paraId="046AAA98" w14:textId="68F078D8" w:rsidR="00106008" w:rsidRPr="00CD1A16" w:rsidRDefault="00106008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D7559C" w:rsidRPr="00CD1A16" w14:paraId="16DC6E5E" w14:textId="77777777" w:rsidTr="00291B11">
        <w:trPr>
          <w:trHeight w:val="990"/>
        </w:trPr>
        <w:tc>
          <w:tcPr>
            <w:tcW w:w="3544" w:type="dxa"/>
            <w:shd w:val="clear" w:color="auto" w:fill="auto"/>
          </w:tcPr>
          <w:p w14:paraId="553A85D3" w14:textId="77777777" w:rsidR="00D7559C" w:rsidRPr="00181FDE" w:rsidRDefault="00D7559C" w:rsidP="00D7559C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412CC9CB" w14:textId="68427F89" w:rsidR="00D7559C" w:rsidRPr="008718F1" w:rsidRDefault="00E52BFF" w:rsidP="00D7559C">
            <w:r w:rsidRPr="008718F1">
              <w:rPr>
                <w:rFonts w:ascii="Tahoma" w:hAnsi="Tahoma" w:cs="Tahoma"/>
                <w:bCs/>
                <w:sz w:val="22"/>
                <w:szCs w:val="24"/>
              </w:rPr>
              <w:t>Пункт 7 Приглашения</w:t>
            </w:r>
          </w:p>
        </w:tc>
        <w:tc>
          <w:tcPr>
            <w:tcW w:w="2156" w:type="dxa"/>
            <w:shd w:val="clear" w:color="auto" w:fill="auto"/>
          </w:tcPr>
          <w:p w14:paraId="6E4637ED" w14:textId="77777777" w:rsidR="00D7559C" w:rsidRDefault="00D7559C" w:rsidP="00D7559C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E52BFF" w:rsidRPr="00CD1A16" w14:paraId="782F4563" w14:textId="77777777" w:rsidTr="00291B11">
        <w:trPr>
          <w:trHeight w:val="1113"/>
        </w:trPr>
        <w:tc>
          <w:tcPr>
            <w:tcW w:w="3544" w:type="dxa"/>
            <w:shd w:val="clear" w:color="auto" w:fill="auto"/>
          </w:tcPr>
          <w:p w14:paraId="2A5B9032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14:paraId="15B7853D" w14:textId="155A90DD" w:rsidR="00E52BFF" w:rsidRPr="00CD1A16" w:rsidRDefault="00E52BFF" w:rsidP="00106008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 xml:space="preserve">Пункт </w:t>
            </w:r>
            <w:r w:rsidR="00106008">
              <w:rPr>
                <w:rFonts w:ascii="Tahoma" w:hAnsi="Tahoma" w:cs="Tahoma"/>
                <w:bCs/>
                <w:sz w:val="22"/>
                <w:szCs w:val="24"/>
              </w:rPr>
              <w:t>9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</w:tcPr>
          <w:p w14:paraId="3C7F3C0B" w14:textId="703226C5" w:rsidR="00E52BFF" w:rsidRDefault="00E52BFF" w:rsidP="00A208A0"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запрашиваемые в разделе 7 </w:t>
            </w:r>
            <w:r w:rsidR="00A208A0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документы и информацию)</w:t>
            </w:r>
          </w:p>
        </w:tc>
      </w:tr>
      <w:tr w:rsidR="00E52BFF" w:rsidRPr="00CD1A16" w14:paraId="022BF8AE" w14:textId="77777777" w:rsidTr="00291B11">
        <w:trPr>
          <w:trHeight w:val="2128"/>
        </w:trPr>
        <w:tc>
          <w:tcPr>
            <w:tcW w:w="3544" w:type="dxa"/>
            <w:shd w:val="clear" w:color="auto" w:fill="auto"/>
          </w:tcPr>
          <w:p w14:paraId="4885ED89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14:paraId="54F6834D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14:paraId="1017F558" w14:textId="77777777" w:rsidR="00E52BFF" w:rsidRPr="001A238E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B40980" w:rsidRPr="00CD1A16" w14:paraId="34F1F944" w14:textId="77777777" w:rsidTr="00291B11">
        <w:trPr>
          <w:trHeight w:val="2128"/>
        </w:trPr>
        <w:tc>
          <w:tcPr>
            <w:tcW w:w="3544" w:type="dxa"/>
            <w:shd w:val="clear" w:color="auto" w:fill="auto"/>
          </w:tcPr>
          <w:p w14:paraId="4620AB80" w14:textId="7E772378" w:rsidR="00B40980" w:rsidRPr="00181FDE" w:rsidRDefault="00B40980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Согласие с требованиями ОТ и ПБ</w:t>
            </w:r>
          </w:p>
        </w:tc>
        <w:tc>
          <w:tcPr>
            <w:tcW w:w="3650" w:type="dxa"/>
            <w:shd w:val="clear" w:color="auto" w:fill="auto"/>
          </w:tcPr>
          <w:p w14:paraId="6E6019A0" w14:textId="0A342E6C" w:rsidR="00B40980" w:rsidRPr="00CD1A16" w:rsidRDefault="00B40980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Приложение №2 к настоящей заявке</w:t>
            </w:r>
          </w:p>
        </w:tc>
        <w:tc>
          <w:tcPr>
            <w:tcW w:w="2156" w:type="dxa"/>
          </w:tcPr>
          <w:p w14:paraId="77C3FDF1" w14:textId="0B12AE74" w:rsidR="00B40980" w:rsidRPr="001A238E" w:rsidRDefault="00B40980" w:rsidP="007D35E1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Указать, прикрепить и направить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заполненное и подписанное Приложение №</w:t>
            </w:r>
            <w:r w:rsidR="007D35E1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Согласие с требованиями ОТ иПБ,  приложить Анкету участника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>)</w:t>
            </w:r>
          </w:p>
        </w:tc>
      </w:tr>
      <w:tr w:rsidR="00E52BFF" w:rsidRPr="00CD1A16" w14:paraId="07694BC6" w14:textId="77777777" w:rsidTr="00291B11">
        <w:trPr>
          <w:trHeight w:val="967"/>
        </w:trPr>
        <w:tc>
          <w:tcPr>
            <w:tcW w:w="3544" w:type="dxa"/>
            <w:shd w:val="clear" w:color="auto" w:fill="auto"/>
          </w:tcPr>
          <w:p w14:paraId="6BEFD82A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14:paraId="6B44C2DC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14:paraId="47F46F94" w14:textId="77777777" w:rsidR="00E52BFF" w:rsidRPr="00CD1A16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6D8C9796" w14:textId="77777777"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5A03939" w14:textId="77777777"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2EC0108E" w14:textId="77777777"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1947F10E" w14:textId="77777777"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77F754EA" w14:textId="77777777"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66818300" w14:textId="77777777"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118B89B8" w14:textId="77777777"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312F0ED8" w14:textId="77777777"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 xml:space="preserve">Должность (Подрядчик)   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 w:rsidR="005A7AE2"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75593461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54893DBB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30121510" w14:textId="77777777"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0BED064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34D7467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D7778B8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1D183343" w14:textId="77777777" w:rsidR="00D97D08" w:rsidRDefault="00D97D08" w:rsidP="008718F1">
      <w:pPr>
        <w:spacing w:after="200" w:line="276" w:lineRule="auto"/>
        <w:jc w:val="center"/>
        <w:rPr>
          <w:rFonts w:ascii="Tahoma" w:hAnsi="Tahoma" w:cs="Tahoma"/>
          <w:b/>
          <w:bCs/>
          <w:sz w:val="22"/>
          <w:szCs w:val="22"/>
        </w:rPr>
        <w:sectPr w:rsidR="00D97D08" w:rsidSect="00B40980">
          <w:type w:val="continuous"/>
          <w:pgSz w:w="11906" w:h="16838" w:code="9"/>
          <w:pgMar w:top="1135" w:right="850" w:bottom="1134" w:left="1701" w:header="709" w:footer="709" w:gutter="0"/>
          <w:cols w:space="708"/>
          <w:docGrid w:linePitch="360"/>
        </w:sectPr>
      </w:pPr>
    </w:p>
    <w:p w14:paraId="6ECA3BA5" w14:textId="4AF72741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6A9D197" w14:textId="025284E2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2C07DF0" w14:textId="1DAC34A1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726BCB84" w14:textId="2C6B8EA6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54C4E59" w14:textId="4B667037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3EBDD8D" w14:textId="7A9F2F74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47EC6F0C" w14:textId="77777777" w:rsidR="004616C6" w:rsidRDefault="004616C6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41C96BDE" w14:textId="673BF0D3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192ABF1" w14:textId="72DAF57E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5508E4C6" w14:textId="513D6B00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3C3ECE7E" w14:textId="50849C67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3558864" w14:textId="035E2419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4D9B764C" w14:textId="601629AF" w:rsidR="00DE4C24" w:rsidRDefault="00DE4C24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C477493" w14:textId="13420AAC" w:rsidR="00B40980" w:rsidRPr="00802FF6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</w:t>
      </w:r>
      <w:r w:rsidR="0074000F">
        <w:rPr>
          <w:rFonts w:ascii="Tahoma" w:eastAsiaTheme="minorHAnsi" w:hAnsi="Tahoma" w:cs="Tahoma"/>
          <w:b/>
          <w:szCs w:val="24"/>
          <w:lang w:eastAsia="ru-RU"/>
        </w:rPr>
        <w:t>2</w:t>
      </w:r>
    </w:p>
    <w:p w14:paraId="2C4FD4B0" w14:textId="77777777" w:rsidR="00B40980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0D9F4100" w14:textId="77777777" w:rsidR="00B40980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318D6768" w14:textId="77777777" w:rsidR="00B40980" w:rsidRPr="00802FF6" w:rsidRDefault="00B40980" w:rsidP="00B40980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18C4C26C" w14:textId="77777777" w:rsidR="00B40980" w:rsidRPr="006D3FD2" w:rsidRDefault="00B40980" w:rsidP="00B40980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Согласие с требованиями в области ПБиОТ, ООС, внутриобъектового режима ООО «ГРК «Быстринское»</w:t>
      </w:r>
    </w:p>
    <w:p w14:paraId="4F636135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3294FC08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18958737" w14:textId="77777777" w:rsidR="00B40980" w:rsidRDefault="00B40980" w:rsidP="00B40980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</w:t>
      </w:r>
      <w:bookmarkStart w:id="0" w:name="_GoBack"/>
      <w:bookmarkEnd w:id="0"/>
      <w:r>
        <w:rPr>
          <w:rFonts w:ascii="Tahoma" w:eastAsiaTheme="minorHAnsi" w:hAnsi="Tahoma" w:cs="Tahoma"/>
          <w:i/>
          <w:sz w:val="24"/>
          <w:szCs w:val="24"/>
          <w:lang w:eastAsia="ru-RU"/>
        </w:rPr>
        <w:t>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ПБиОТ, ООС, внутриобъектового режима ООО «ГРК «Быстринское», отраженные в Приложении №1 к Общим условиям договоров, заключаемых ООО «ГРК «Быстринское»,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9" w:tgtFrame="_blank" w:history="1">
        <w:r>
          <w:rPr>
            <w:rStyle w:val="ae"/>
            <w:rFonts w:ascii="Tahoma" w:hAnsi="Tahoma" w:cs="Tahoma"/>
            <w:color w:val="0080C8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3B710752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7A32B36C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061A1FE3" w14:textId="77777777" w:rsidR="00B40980" w:rsidRDefault="00B40980" w:rsidP="00B40980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3345FF70" w14:textId="77777777" w:rsidR="00B40980" w:rsidRPr="000B637F" w:rsidRDefault="00B40980" w:rsidP="00B40980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F653977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</w:rPr>
      </w:pPr>
    </w:p>
    <w:p w14:paraId="095A528A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691D3679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20BF9E98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7233F080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4D9E630C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504AA9A3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5B5AA9BB" w14:textId="77777777" w:rsidR="00B40980" w:rsidRDefault="00B40980" w:rsidP="00B40980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p w14:paraId="62BBEB28" w14:textId="5EA5019C" w:rsidR="008718F1" w:rsidRDefault="008718F1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7B3BA299" w14:textId="39D9BB1F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70EC71B2" w14:textId="39D2A6E9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615A0C30" w14:textId="56927B95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4C9BDD6B" w14:textId="128A26FE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59069EEF" w14:textId="6E0C2DA8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p w14:paraId="64408961" w14:textId="1AE3381D" w:rsidR="00A208A0" w:rsidRDefault="00A208A0" w:rsidP="00627BD7">
      <w:pPr>
        <w:spacing w:after="200" w:line="276" w:lineRule="auto"/>
        <w:jc w:val="center"/>
        <w:rPr>
          <w:rFonts w:ascii="Tahoma" w:hAnsi="Tahoma" w:cs="Tahoma"/>
          <w:b/>
          <w:sz w:val="20"/>
        </w:rPr>
      </w:pPr>
    </w:p>
    <w:sectPr w:rsidR="00A208A0" w:rsidSect="00B40980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7AD88" w14:textId="77777777" w:rsidR="008718F1" w:rsidRDefault="008718F1" w:rsidP="008718F1">
      <w:r>
        <w:separator/>
      </w:r>
    </w:p>
  </w:endnote>
  <w:endnote w:type="continuationSeparator" w:id="0">
    <w:p w14:paraId="1ABF8ED7" w14:textId="77777777" w:rsidR="008718F1" w:rsidRDefault="008718F1" w:rsidP="0087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6D104" w14:textId="77777777" w:rsidR="008718F1" w:rsidRDefault="008718F1" w:rsidP="008718F1">
      <w:r>
        <w:separator/>
      </w:r>
    </w:p>
  </w:footnote>
  <w:footnote w:type="continuationSeparator" w:id="0">
    <w:p w14:paraId="70107C66" w14:textId="77777777" w:rsidR="008718F1" w:rsidRDefault="008718F1" w:rsidP="0087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56A9C"/>
    <w:rsid w:val="000620DE"/>
    <w:rsid w:val="00066C02"/>
    <w:rsid w:val="000731BF"/>
    <w:rsid w:val="000A1C2E"/>
    <w:rsid w:val="000A5BAA"/>
    <w:rsid w:val="000C39FB"/>
    <w:rsid w:val="001038B5"/>
    <w:rsid w:val="001039E1"/>
    <w:rsid w:val="0010582B"/>
    <w:rsid w:val="00106008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5915"/>
    <w:rsid w:val="002537DF"/>
    <w:rsid w:val="00267BBF"/>
    <w:rsid w:val="00291B11"/>
    <w:rsid w:val="00297B4A"/>
    <w:rsid w:val="002A0551"/>
    <w:rsid w:val="002E1C83"/>
    <w:rsid w:val="002F6A73"/>
    <w:rsid w:val="003051FC"/>
    <w:rsid w:val="00305F53"/>
    <w:rsid w:val="00306918"/>
    <w:rsid w:val="0033181A"/>
    <w:rsid w:val="00336D24"/>
    <w:rsid w:val="003464F1"/>
    <w:rsid w:val="003A6E20"/>
    <w:rsid w:val="003C3E31"/>
    <w:rsid w:val="003E1044"/>
    <w:rsid w:val="003F488B"/>
    <w:rsid w:val="003F521D"/>
    <w:rsid w:val="003F55E3"/>
    <w:rsid w:val="00402A6F"/>
    <w:rsid w:val="00415F0B"/>
    <w:rsid w:val="004512B4"/>
    <w:rsid w:val="00457030"/>
    <w:rsid w:val="004616C6"/>
    <w:rsid w:val="0046215C"/>
    <w:rsid w:val="00462A86"/>
    <w:rsid w:val="004A4252"/>
    <w:rsid w:val="004B2C3B"/>
    <w:rsid w:val="004B7BD4"/>
    <w:rsid w:val="00510AF2"/>
    <w:rsid w:val="00510B71"/>
    <w:rsid w:val="00527519"/>
    <w:rsid w:val="00536F70"/>
    <w:rsid w:val="00586E57"/>
    <w:rsid w:val="005A7AE2"/>
    <w:rsid w:val="005B6633"/>
    <w:rsid w:val="005C19F7"/>
    <w:rsid w:val="005C27C1"/>
    <w:rsid w:val="005C5356"/>
    <w:rsid w:val="005C66A1"/>
    <w:rsid w:val="0060450C"/>
    <w:rsid w:val="0060784D"/>
    <w:rsid w:val="00614049"/>
    <w:rsid w:val="00627BD7"/>
    <w:rsid w:val="006307C5"/>
    <w:rsid w:val="00632457"/>
    <w:rsid w:val="0063258F"/>
    <w:rsid w:val="00636B9C"/>
    <w:rsid w:val="00642718"/>
    <w:rsid w:val="00675F02"/>
    <w:rsid w:val="006B3E3D"/>
    <w:rsid w:val="006D16E1"/>
    <w:rsid w:val="006E0C02"/>
    <w:rsid w:val="006F4401"/>
    <w:rsid w:val="00727B9B"/>
    <w:rsid w:val="00730932"/>
    <w:rsid w:val="007316B4"/>
    <w:rsid w:val="0074000F"/>
    <w:rsid w:val="0074251D"/>
    <w:rsid w:val="007425EF"/>
    <w:rsid w:val="0078643C"/>
    <w:rsid w:val="007A7DA8"/>
    <w:rsid w:val="007B4E9D"/>
    <w:rsid w:val="007C22FE"/>
    <w:rsid w:val="007D1CED"/>
    <w:rsid w:val="007D35E1"/>
    <w:rsid w:val="007F2350"/>
    <w:rsid w:val="007F37D6"/>
    <w:rsid w:val="008237D4"/>
    <w:rsid w:val="00827285"/>
    <w:rsid w:val="00830ADA"/>
    <w:rsid w:val="00835908"/>
    <w:rsid w:val="00837460"/>
    <w:rsid w:val="0087054E"/>
    <w:rsid w:val="008718F1"/>
    <w:rsid w:val="008765CB"/>
    <w:rsid w:val="00877104"/>
    <w:rsid w:val="008871C6"/>
    <w:rsid w:val="008918CE"/>
    <w:rsid w:val="008C5852"/>
    <w:rsid w:val="008D3E10"/>
    <w:rsid w:val="00944F1B"/>
    <w:rsid w:val="0097318E"/>
    <w:rsid w:val="009A07E5"/>
    <w:rsid w:val="009A40FE"/>
    <w:rsid w:val="009C41F7"/>
    <w:rsid w:val="009C5C9C"/>
    <w:rsid w:val="009D60EB"/>
    <w:rsid w:val="009F7485"/>
    <w:rsid w:val="00A05A4F"/>
    <w:rsid w:val="00A208A0"/>
    <w:rsid w:val="00A32CAE"/>
    <w:rsid w:val="00A469B3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AE6697"/>
    <w:rsid w:val="00B05AF3"/>
    <w:rsid w:val="00B124D2"/>
    <w:rsid w:val="00B30B82"/>
    <w:rsid w:val="00B40980"/>
    <w:rsid w:val="00B42AC2"/>
    <w:rsid w:val="00B5271F"/>
    <w:rsid w:val="00B713EE"/>
    <w:rsid w:val="00B73D6A"/>
    <w:rsid w:val="00B742F2"/>
    <w:rsid w:val="00B81434"/>
    <w:rsid w:val="00B9292B"/>
    <w:rsid w:val="00B96C53"/>
    <w:rsid w:val="00BB22C0"/>
    <w:rsid w:val="00BC0257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8FB"/>
    <w:rsid w:val="00CD1A16"/>
    <w:rsid w:val="00CD7255"/>
    <w:rsid w:val="00CE12FB"/>
    <w:rsid w:val="00CE3E33"/>
    <w:rsid w:val="00CF77E4"/>
    <w:rsid w:val="00D24EE4"/>
    <w:rsid w:val="00D4041E"/>
    <w:rsid w:val="00D43993"/>
    <w:rsid w:val="00D53CC6"/>
    <w:rsid w:val="00D565A6"/>
    <w:rsid w:val="00D62ED6"/>
    <w:rsid w:val="00D7559C"/>
    <w:rsid w:val="00D97D08"/>
    <w:rsid w:val="00DA2DF9"/>
    <w:rsid w:val="00DD617E"/>
    <w:rsid w:val="00DE4C24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2BFF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35AE8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8718F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71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8718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8718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Подзаголовок (титульная)"/>
    <w:basedOn w:val="a"/>
    <w:next w:val="a"/>
    <w:autoRedefine/>
    <w:rsid w:val="00DE4C24"/>
    <w:rPr>
      <w:rFonts w:ascii="Tahoma" w:hAnsi="Tahoma" w:cs="Tahoma"/>
      <w:sz w:val="22"/>
      <w:szCs w:val="24"/>
    </w:rPr>
  </w:style>
  <w:style w:type="paragraph" w:customStyle="1" w:styleId="228bf8a64b8551e1msonormal">
    <w:name w:val="228bf8a64b8551e1msonormal"/>
    <w:basedOn w:val="a"/>
    <w:rsid w:val="00DE4C24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rkb.ru/files/suppliers/instructions-and-templates/dokumenti-dlya-PO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F7D53-F54A-40DC-814C-32FBF0AA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Воротынцева Надежда Артуровна</cp:lastModifiedBy>
  <cp:revision>4</cp:revision>
  <dcterms:created xsi:type="dcterms:W3CDTF">2025-04-25T01:56:00Z</dcterms:created>
  <dcterms:modified xsi:type="dcterms:W3CDTF">2025-06-10T02:31:00Z</dcterms:modified>
</cp:coreProperties>
</file>