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322147">
        <w:rPr>
          <w:rFonts w:ascii="Tahoma" w:hAnsi="Tahoma" w:cs="Tahoma"/>
          <w:b/>
        </w:rPr>
        <w:t>45458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731564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322147">
              <w:rPr>
                <w:rFonts w:ascii="Tahoma" w:hAnsi="Tahoma" w:cs="Tahoma"/>
                <w:b/>
              </w:rPr>
              <w:t>45458</w:t>
            </w:r>
          </w:p>
          <w:p w:rsidR="003647C1" w:rsidRPr="005703BD" w:rsidRDefault="00322147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62C77">
              <w:rPr>
                <w:rFonts w:ascii="Tahoma" w:hAnsi="Tahoma" w:cs="Tahoma"/>
              </w:rPr>
              <w:t>Оказание услуг по сбору, транспортировке, утилизации, обезвреживанию отходов "Покрышки отработанные" и "Резинотехнические изделия отработанные" в соответствии с техническим заданием № 10ДЭиУР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F509B8" w:rsidP="00322147">
            <w:pPr>
              <w:spacing w:after="0" w:line="240" w:lineRule="auto"/>
              <w:rPr>
                <w:rFonts w:ascii="Tahoma" w:hAnsi="Tahoma" w:cs="Tahoma"/>
              </w:rPr>
            </w:pPr>
            <w:r w:rsidRPr="00F509B8">
              <w:rPr>
                <w:rFonts w:ascii="Tahoma" w:hAnsi="Tahoma" w:cs="Tahoma"/>
                <w:szCs w:val="24"/>
              </w:rPr>
              <w:t xml:space="preserve">с даты заключения договора </w:t>
            </w:r>
            <w:r w:rsidR="006532C5">
              <w:rPr>
                <w:rFonts w:ascii="Tahoma" w:hAnsi="Tahoma" w:cs="Tahoma"/>
                <w:szCs w:val="24"/>
              </w:rPr>
              <w:t>д</w:t>
            </w:r>
            <w:r w:rsidRPr="00F509B8">
              <w:rPr>
                <w:rFonts w:ascii="Tahoma" w:hAnsi="Tahoma" w:cs="Tahoma"/>
                <w:szCs w:val="24"/>
              </w:rPr>
              <w:t xml:space="preserve">о </w:t>
            </w:r>
            <w:r w:rsidR="00322147">
              <w:rPr>
                <w:rFonts w:ascii="Tahoma" w:hAnsi="Tahoma" w:cs="Tahoma"/>
                <w:szCs w:val="24"/>
              </w:rPr>
              <w:t>01</w:t>
            </w:r>
            <w:r w:rsidRPr="00F509B8">
              <w:rPr>
                <w:rFonts w:ascii="Tahoma" w:hAnsi="Tahoma" w:cs="Tahoma"/>
                <w:szCs w:val="24"/>
              </w:rPr>
              <w:t>.</w:t>
            </w:r>
            <w:r w:rsidR="00322147">
              <w:rPr>
                <w:rFonts w:ascii="Tahoma" w:hAnsi="Tahoma" w:cs="Tahoma"/>
                <w:szCs w:val="24"/>
              </w:rPr>
              <w:t>09</w:t>
            </w:r>
            <w:r w:rsidRPr="00F509B8">
              <w:rPr>
                <w:rFonts w:ascii="Tahoma" w:hAnsi="Tahoma" w:cs="Tahoma"/>
                <w:szCs w:val="24"/>
              </w:rPr>
              <w:t>.20</w:t>
            </w:r>
            <w:r w:rsidR="006532C5">
              <w:rPr>
                <w:rFonts w:ascii="Tahoma" w:hAnsi="Tahoma" w:cs="Tahoma"/>
                <w:szCs w:val="24"/>
              </w:rPr>
              <w:t>2</w:t>
            </w:r>
            <w:r w:rsidR="002029D8">
              <w:rPr>
                <w:rFonts w:ascii="Tahoma" w:hAnsi="Tahoma" w:cs="Tahoma"/>
                <w:szCs w:val="24"/>
              </w:rPr>
              <w:t>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322147" w:rsidRDefault="00322147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322147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пл. </w:t>
            </w:r>
            <w:r w:rsidR="00322147">
              <w:rPr>
                <w:rFonts w:ascii="Tahoma" w:hAnsi="Tahoma" w:cs="Tahoma"/>
                <w:sz w:val="22"/>
                <w:szCs w:val="22"/>
              </w:rPr>
              <w:t>Заполярный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32214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322147">
              <w:rPr>
                <w:rFonts w:ascii="Tahoma" w:hAnsi="Tahoma" w:cs="Tahoma"/>
              </w:rPr>
              <w:t>30 (тридцати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lastRenderedPageBreak/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322147" w:rsidRDefault="00322147" w:rsidP="00322147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 xml:space="preserve">к настоящему Приглашению) и </w:t>
            </w:r>
            <w:r w:rsidRPr="00897A7D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  <w:r>
              <w:rPr>
                <w:rFonts w:ascii="Tahoma" w:hAnsi="Tahoma" w:cs="Tahoma"/>
                <w:spacing w:val="-5"/>
              </w:rPr>
              <w:t>;</w:t>
            </w:r>
          </w:p>
          <w:p w:rsidR="00322147" w:rsidRPr="00897A7D" w:rsidRDefault="00322147" w:rsidP="00322147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897A7D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897A7D">
              <w:rPr>
                <w:rFonts w:ascii="Tahoma" w:hAnsi="Tahoma" w:cs="Tahoma"/>
                <w:spacing w:val="-5"/>
              </w:rPr>
              <w:t xml:space="preserve">. с включением их </w:t>
            </w:r>
            <w:r>
              <w:rPr>
                <w:rFonts w:ascii="Tahoma" w:hAnsi="Tahoma" w:cs="Tahoma"/>
                <w:spacing w:val="-5"/>
              </w:rPr>
              <w:br/>
            </w:r>
            <w:r w:rsidRPr="00897A7D">
              <w:rPr>
                <w:rFonts w:ascii="Tahoma" w:hAnsi="Tahoma" w:cs="Tahoma"/>
                <w:spacing w:val="-5"/>
              </w:rPr>
              <w:t xml:space="preserve">в договор) в области </w:t>
            </w:r>
            <w:r w:rsidRPr="00897A7D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897A7D">
              <w:rPr>
                <w:rFonts w:ascii="Tahoma" w:hAnsi="Tahoma" w:cs="Tahoma"/>
                <w:spacing w:val="-5"/>
              </w:rPr>
              <w:t xml:space="preserve">, указанные </w:t>
            </w:r>
            <w:r>
              <w:rPr>
                <w:rFonts w:ascii="Tahoma" w:hAnsi="Tahoma" w:cs="Tahoma"/>
                <w:spacing w:val="-5"/>
              </w:rPr>
              <w:br/>
            </w:r>
            <w:r w:rsidRPr="00897A7D">
              <w:rPr>
                <w:rFonts w:ascii="Tahoma" w:hAnsi="Tahoma" w:cs="Tahoma"/>
                <w:spacing w:val="-5"/>
              </w:rPr>
              <w:t xml:space="preserve">в </w:t>
            </w:r>
            <w:r w:rsidRPr="00AF6B94">
              <w:rPr>
                <w:rFonts w:ascii="Tahoma" w:hAnsi="Tahoma" w:cs="Tahoma"/>
                <w:spacing w:val="-5"/>
              </w:rPr>
              <w:t>Приложении №</w:t>
            </w:r>
            <w:r>
              <w:rPr>
                <w:rFonts w:ascii="Tahoma" w:hAnsi="Tahoma" w:cs="Tahoma"/>
                <w:spacing w:val="-5"/>
              </w:rPr>
              <w:t xml:space="preserve"> 5</w:t>
            </w:r>
            <w:r w:rsidRPr="00AF6B94">
              <w:rPr>
                <w:rFonts w:ascii="Tahoma" w:hAnsi="Tahoma" w:cs="Tahoma"/>
                <w:spacing w:val="-5"/>
              </w:rPr>
              <w:t xml:space="preserve"> к</w:t>
            </w:r>
            <w:r w:rsidRPr="00897A7D">
              <w:rPr>
                <w:rFonts w:ascii="Tahoma" w:hAnsi="Tahoma" w:cs="Tahoma"/>
                <w:spacing w:val="-5"/>
              </w:rPr>
              <w:t xml:space="preserve"> настоящему Приглашению</w:t>
            </w:r>
            <w:r>
              <w:rPr>
                <w:rFonts w:ascii="Tahoma" w:hAnsi="Tahoma" w:cs="Tahoma"/>
                <w:spacing w:val="-5"/>
              </w:rPr>
              <w:t>;</w:t>
            </w:r>
          </w:p>
          <w:p w:rsidR="009A6855" w:rsidRPr="009A6855" w:rsidRDefault="00322147" w:rsidP="0032214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6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890C83" w:rsidRDefault="00890C83" w:rsidP="0032214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  <w:bookmarkStart w:id="0" w:name="_GoBack"/>
            <w:bookmarkEnd w:id="0"/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2147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DF7DA3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CAC70-FD02-4B26-9353-B99475F52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2025-04-08T07:33:00Z</dcterms:modified>
</cp:coreProperties>
</file>