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3A7C14">
        <w:rPr>
          <w:rFonts w:ascii="Tahoma" w:hAnsi="Tahoma" w:cs="Tahoma"/>
          <w:b/>
          <w:szCs w:val="20"/>
        </w:rPr>
        <w:t>20047177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A7C14" w:rsidRPr="003A7C14" w:rsidRDefault="003A7C14" w:rsidP="003A7C1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A7C14">
              <w:rPr>
                <w:rFonts w:ascii="Tahoma" w:hAnsi="Tahoma" w:cs="Tahoma"/>
              </w:rPr>
              <w:t xml:space="preserve">УХД. Проведение ремонтных работ согласно Программа ДБУ "Сделано с заботой": </w:t>
            </w:r>
          </w:p>
          <w:p w:rsidR="003A7C14" w:rsidRPr="003A7C14" w:rsidRDefault="003A7C14" w:rsidP="003A7C1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A7C14">
              <w:rPr>
                <w:rFonts w:ascii="Tahoma" w:hAnsi="Tahoma" w:cs="Tahoma"/>
              </w:rPr>
              <w:t>1. ТЦ. АБК мойки гаража №3, пл. Заполярный, инв.№00454. Ремонт помещений.</w:t>
            </w:r>
          </w:p>
          <w:p w:rsidR="003A7C14" w:rsidRPr="003A7C14" w:rsidRDefault="003A7C14" w:rsidP="003A7C1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A7C14">
              <w:rPr>
                <w:rFonts w:ascii="Tahoma" w:hAnsi="Tahoma" w:cs="Tahoma"/>
              </w:rPr>
              <w:t>2. ТЦ. Здание гараж-стоянка (легкий парк), пл. Заполярный, инв.№00255. Ремонт помещений.</w:t>
            </w:r>
          </w:p>
          <w:p w:rsidR="003647C1" w:rsidRPr="00251161" w:rsidRDefault="003A7C14" w:rsidP="003A7C1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A7C14">
              <w:rPr>
                <w:rFonts w:ascii="Tahoma" w:hAnsi="Tahoma" w:cs="Tahoma"/>
              </w:rPr>
              <w:t>С МТР подрядчика, в соответствии с техническим заданием № 105000061612.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A7C14" w:rsidP="002575E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2575E3">
              <w:rPr>
                <w:rFonts w:ascii="Tahoma" w:hAnsi="Tahoma" w:cs="Tahoma"/>
                <w:b/>
                <w:spacing w:val="-5"/>
              </w:rPr>
              <w:t>с даты заключения договора п</w:t>
            </w:r>
            <w:bookmarkStart w:id="0" w:name="_GoBack"/>
            <w:bookmarkEnd w:id="0"/>
            <w:r w:rsidRPr="002575E3">
              <w:rPr>
                <w:rFonts w:ascii="Tahoma" w:hAnsi="Tahoma" w:cs="Tahoma"/>
                <w:b/>
                <w:spacing w:val="-5"/>
              </w:rPr>
              <w:t xml:space="preserve">о </w:t>
            </w:r>
            <w:r w:rsidR="002575E3" w:rsidRPr="002575E3">
              <w:rPr>
                <w:rFonts w:ascii="Tahoma" w:hAnsi="Tahoma" w:cs="Tahoma"/>
                <w:b/>
                <w:spacing w:val="-5"/>
              </w:rPr>
              <w:t>30</w:t>
            </w:r>
            <w:r w:rsidRPr="002575E3">
              <w:rPr>
                <w:rFonts w:ascii="Tahoma" w:hAnsi="Tahoma" w:cs="Tahoma"/>
                <w:b/>
                <w:spacing w:val="-5"/>
              </w:rPr>
              <w:t>.1</w:t>
            </w:r>
            <w:r w:rsidR="002575E3" w:rsidRPr="002575E3">
              <w:rPr>
                <w:rFonts w:ascii="Tahoma" w:hAnsi="Tahoma" w:cs="Tahoma"/>
                <w:b/>
                <w:spacing w:val="-5"/>
              </w:rPr>
              <w:t>1</w:t>
            </w:r>
            <w:r w:rsidRPr="002575E3">
              <w:rPr>
                <w:rFonts w:ascii="Tahoma" w:hAnsi="Tahoma" w:cs="Tahoma"/>
                <w:b/>
                <w:spacing w:val="-5"/>
              </w:rPr>
              <w:t>.2025г.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A7C14" w:rsidP="00F7467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18"/>
              </w:rPr>
              <w:t>Мурманская область, г. Заполярный, Аренда. ТЦ.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0311F2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F74671" w:rsidRPr="000311F2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Без авансирования. Оплата выполненных работ осуществляется: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0311F2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0311F2">
              <w:rPr>
                <w:rFonts w:ascii="Tahoma" w:hAnsi="Tahoma" w:cs="Tahoma"/>
              </w:rPr>
              <w:t xml:space="preserve"> от Подрядчика </w:t>
            </w:r>
            <w:r w:rsidRPr="000311F2">
              <w:rPr>
                <w:rFonts w:ascii="Tahoma" w:hAnsi="Tahoma" w:cs="Tahoma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т.ч.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lastRenderedPageBreak/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lastRenderedPageBreak/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7348AE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</w:t>
      </w:r>
      <w:r w:rsidRPr="005B6D17">
        <w:rPr>
          <w:rFonts w:ascii="Tahoma" w:hAnsi="Tahoma" w:cs="Tahoma"/>
        </w:rPr>
        <w:lastRenderedPageBreak/>
        <w:t>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(Пос</w:t>
      </w:r>
      <w:r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520FE2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7D7E18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8AE" w:rsidRDefault="007348AE" w:rsidP="00EF71FD">
      <w:pPr>
        <w:spacing w:after="0" w:line="240" w:lineRule="auto"/>
      </w:pPr>
      <w:r>
        <w:separator/>
      </w:r>
    </w:p>
  </w:endnote>
  <w:endnote w:type="continuationSeparator" w:id="0">
    <w:p w:rsidR="007348AE" w:rsidRDefault="007348AE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8AE" w:rsidRDefault="007348AE" w:rsidP="00EF71FD">
      <w:pPr>
        <w:spacing w:after="0" w:line="240" w:lineRule="auto"/>
      </w:pPr>
      <w:r>
        <w:separator/>
      </w:r>
    </w:p>
  </w:footnote>
  <w:footnote w:type="continuationSeparator" w:id="0">
    <w:p w:rsidR="007348AE" w:rsidRDefault="007348AE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575E3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549E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A7C1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8AE"/>
    <w:rsid w:val="00734DE5"/>
    <w:rsid w:val="00740E7F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22EAD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32858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72F0C-2E11-41D6-B08C-7E96BA34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256</cp:revision>
  <cp:lastPrinted>2017-12-05T13:43:00Z</cp:lastPrinted>
  <dcterms:created xsi:type="dcterms:W3CDTF">2017-02-22T08:31:00Z</dcterms:created>
  <dcterms:modified xsi:type="dcterms:W3CDTF">2025-06-20T11:28:00Z</dcterms:modified>
</cp:coreProperties>
</file>