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AF6DBF">
        <w:rPr>
          <w:rFonts w:ascii="Tahoma" w:hAnsi="Tahoma" w:cs="Tahoma"/>
          <w:b/>
          <w:szCs w:val="20"/>
        </w:rPr>
        <w:t>47246</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897A7D" w:rsidRDefault="00AF6DBF" w:rsidP="00897A7D">
            <w:pPr>
              <w:pStyle w:val="af0"/>
              <w:jc w:val="both"/>
              <w:rPr>
                <w:rFonts w:ascii="Tahoma" w:hAnsi="Tahoma" w:cs="Tahoma"/>
                <w:i w:val="0"/>
                <w:sz w:val="22"/>
                <w:szCs w:val="22"/>
                <w:lang w:val="ru-RU"/>
              </w:rPr>
            </w:pPr>
            <w:r w:rsidRPr="00AF6DBF">
              <w:rPr>
                <w:rFonts w:ascii="Tahoma" w:eastAsiaTheme="minorHAnsi" w:hAnsi="Tahoma" w:cs="Tahoma"/>
                <w:i w:val="0"/>
                <w:iCs w:val="0"/>
                <w:sz w:val="22"/>
                <w:szCs w:val="22"/>
                <w:lang w:val="ru-RU"/>
              </w:rPr>
              <w:t xml:space="preserve">Поставка МТР для АПС-2 в соответствии со спецификацией </w:t>
            </w:r>
            <w:r>
              <w:rPr>
                <w:rFonts w:ascii="Tahoma" w:eastAsiaTheme="minorHAnsi" w:hAnsi="Tahoma" w:cs="Tahoma"/>
                <w:i w:val="0"/>
                <w:iCs w:val="0"/>
                <w:sz w:val="22"/>
                <w:szCs w:val="22"/>
                <w:lang w:val="ru-RU"/>
              </w:rPr>
              <w:br/>
            </w:r>
            <w:r w:rsidRPr="00AF6DBF">
              <w:rPr>
                <w:rFonts w:ascii="Tahoma" w:eastAsiaTheme="minorHAnsi" w:hAnsi="Tahoma" w:cs="Tahoma"/>
                <w:i w:val="0"/>
                <w:iCs w:val="0"/>
                <w:sz w:val="22"/>
                <w:szCs w:val="22"/>
                <w:lang w:val="ru-RU"/>
              </w:rPr>
              <w:t>№ 10723069</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AF6DBF" w:rsidP="00AF6DBF">
            <w:pPr>
              <w:spacing w:after="0" w:line="240" w:lineRule="auto"/>
              <w:jc w:val="both"/>
              <w:rPr>
                <w:rFonts w:ascii="Tahoma" w:hAnsi="Tahoma" w:cs="Tahoma"/>
              </w:rPr>
            </w:pPr>
            <w:r>
              <w:rPr>
                <w:rFonts w:ascii="Tahoma" w:hAnsi="Tahoma" w:cs="Tahoma"/>
              </w:rPr>
              <w:t>г</w:t>
            </w:r>
            <w:r w:rsidR="007036D1">
              <w:rPr>
                <w:rFonts w:ascii="Tahoma" w:hAnsi="Tahoma" w:cs="Tahoma"/>
              </w:rPr>
              <w:t xml:space="preserve">. </w:t>
            </w:r>
            <w:r>
              <w:rPr>
                <w:rFonts w:ascii="Tahoma" w:hAnsi="Tahoma" w:cs="Tahoma"/>
              </w:rPr>
              <w:t>Заполярный, Мурманская область</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AF6DBF">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 xml:space="preserve">Оплата осуществляется в первый рабочий четверг после истечения </w:t>
            </w:r>
            <w:r w:rsidR="00AF6DBF">
              <w:rPr>
                <w:rFonts w:ascii="Tahoma" w:hAnsi="Tahoma" w:cs="Tahoma"/>
              </w:rPr>
              <w:t>6</w:t>
            </w:r>
            <w:r w:rsidR="00C54F70" w:rsidRPr="005A0D3B">
              <w:rPr>
                <w:rFonts w:ascii="Tahoma" w:hAnsi="Tahoma" w:cs="Tahoma"/>
              </w:rPr>
              <w:t>0 (</w:t>
            </w:r>
            <w:r w:rsidR="00AF6DBF">
              <w:rPr>
                <w:rFonts w:ascii="Tahoma" w:hAnsi="Tahoma" w:cs="Tahoma"/>
              </w:rPr>
              <w:t>шестидесяти</w:t>
            </w:r>
            <w:r w:rsidR="00C54F70" w:rsidRPr="005A0D3B">
              <w:rPr>
                <w:rFonts w:ascii="Tahoma" w:hAnsi="Tahoma" w:cs="Tahoma"/>
              </w:rPr>
              <w:t xml:space="preserve">) календарных дней </w:t>
            </w:r>
            <w:r w:rsidR="00AF6DBF">
              <w:rPr>
                <w:rFonts w:ascii="Tahoma" w:hAnsi="Tahoma" w:cs="Tahoma"/>
              </w:rPr>
              <w:br/>
            </w:r>
            <w:r w:rsidR="00C54F70" w:rsidRPr="005A0D3B">
              <w:rPr>
                <w:rFonts w:ascii="Tahoma" w:hAnsi="Tahoma" w:cs="Tahoma"/>
              </w:rPr>
              <w:t xml:space="preserve">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897A7D" w:rsidRDefault="007036D1" w:rsidP="00AF6DBF">
            <w:pPr>
              <w:spacing w:after="0" w:line="240" w:lineRule="auto"/>
              <w:jc w:val="both"/>
              <w:rPr>
                <w:rFonts w:ascii="Tahoma" w:hAnsi="Tahoma" w:cs="Tahoma"/>
                <w:spacing w:val="-5"/>
              </w:rPr>
            </w:pPr>
            <w:r>
              <w:rPr>
                <w:rFonts w:ascii="Tahoma" w:hAnsi="Tahoma" w:cs="Tahoma"/>
                <w:spacing w:val="-5"/>
              </w:rPr>
              <w:t>с</w:t>
            </w:r>
            <w:r w:rsidR="00897A7D" w:rsidRPr="00897A7D">
              <w:rPr>
                <w:rFonts w:ascii="Tahoma" w:hAnsi="Tahoma" w:cs="Tahoma"/>
                <w:spacing w:val="-5"/>
              </w:rPr>
              <w:t xml:space="preserve"> даты заключения договора до </w:t>
            </w:r>
            <w:r w:rsidR="00AF6DBF">
              <w:rPr>
                <w:rFonts w:ascii="Tahoma" w:hAnsi="Tahoma" w:cs="Tahoma"/>
                <w:spacing w:val="-5"/>
              </w:rPr>
              <w:t>18</w:t>
            </w:r>
            <w:r w:rsidR="00897A7D" w:rsidRPr="00897A7D">
              <w:rPr>
                <w:rFonts w:ascii="Tahoma" w:hAnsi="Tahoma" w:cs="Tahoma"/>
                <w:spacing w:val="-5"/>
              </w:rPr>
              <w:t>.</w:t>
            </w:r>
            <w:r w:rsidR="00AF6DBF">
              <w:rPr>
                <w:rFonts w:ascii="Tahoma" w:hAnsi="Tahoma" w:cs="Tahoma"/>
                <w:spacing w:val="-5"/>
              </w:rPr>
              <w:t>07</w:t>
            </w:r>
            <w:r w:rsidR="00897A7D" w:rsidRPr="00897A7D">
              <w:rPr>
                <w:rFonts w:ascii="Tahoma" w:hAnsi="Tahoma" w:cs="Tahoma"/>
                <w:spacing w:val="-5"/>
              </w:rPr>
              <w:t>.202</w:t>
            </w:r>
            <w:r>
              <w:rPr>
                <w:rFonts w:ascii="Tahoma" w:hAnsi="Tahoma" w:cs="Tahoma"/>
                <w:spacing w:val="-5"/>
              </w:rPr>
              <w:t>5</w:t>
            </w:r>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AF6DBF" w:rsidRDefault="00AF6DBF" w:rsidP="00AF6DBF">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Pr>
                <w:rFonts w:ascii="Tahoma" w:hAnsi="Tahoma" w:cs="Tahoma"/>
                <w:b/>
                <w:spacing w:val="-5"/>
              </w:rPr>
              <w:t>Спецификации</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t>к настоящему Приглашению);</w:t>
            </w:r>
            <w:r w:rsidRPr="00FB07BB">
              <w:rPr>
                <w:rFonts w:ascii="Tahoma" w:hAnsi="Tahoma" w:cs="Tahoma"/>
                <w:b/>
                <w:spacing w:val="-5"/>
              </w:rPr>
              <w:t>*</w:t>
            </w:r>
          </w:p>
          <w:p w:rsidR="00AF6DBF" w:rsidRDefault="00AF6DBF" w:rsidP="00AF6DBF">
            <w:pPr>
              <w:spacing w:after="0" w:line="240" w:lineRule="auto"/>
              <w:ind w:right="145"/>
              <w:jc w:val="both"/>
              <w:rPr>
                <w:rFonts w:ascii="Tahoma" w:hAnsi="Tahoma" w:cs="Tahoma"/>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Pr>
                <w:rFonts w:ascii="Tahoma" w:hAnsi="Tahoma" w:cs="Tahoma"/>
                <w:spacing w:val="-5"/>
              </w:rPr>
              <w:t>4</w:t>
            </w:r>
            <w:r w:rsidRPr="00897A7D">
              <w:rPr>
                <w:rFonts w:ascii="Tahoma" w:hAnsi="Tahoma" w:cs="Tahoma"/>
                <w:spacing w:val="-5"/>
              </w:rPr>
              <w:t xml:space="preserve"> к настоящему Приглашению)</w:t>
            </w:r>
            <w:r>
              <w:rPr>
                <w:rFonts w:ascii="Tahoma" w:hAnsi="Tahoma" w:cs="Tahoma"/>
                <w:spacing w:val="-5"/>
              </w:rPr>
              <w:t>.</w:t>
            </w:r>
          </w:p>
          <w:p w:rsidR="00B24B68" w:rsidRPr="00897A7D" w:rsidRDefault="00AF6DBF" w:rsidP="00AF6DBF">
            <w:pPr>
              <w:tabs>
                <w:tab w:val="left" w:pos="0"/>
              </w:tabs>
              <w:spacing w:after="0" w:line="240" w:lineRule="auto"/>
              <w:jc w:val="both"/>
              <w:rPr>
                <w:rFonts w:ascii="Tahoma" w:hAnsi="Tahoma" w:cs="Tahoma"/>
                <w:b/>
                <w:spacing w:val="-5"/>
              </w:rPr>
            </w:pPr>
            <w:r w:rsidRPr="00FB07BB">
              <w:rPr>
                <w:rFonts w:ascii="Tahoma" w:hAnsi="Tahoma" w:cs="Tahoma"/>
                <w:b/>
                <w:spacing w:val="-5"/>
              </w:rPr>
              <w:t>*</w:t>
            </w:r>
            <w:r w:rsidRPr="00FB07BB">
              <w:rPr>
                <w:rFonts w:ascii="Tahoma" w:hAnsi="Tahoma" w:cs="Tahoma"/>
                <w:i/>
                <w:sz w:val="20"/>
                <w:szCs w:val="20"/>
              </w:rPr>
              <w:t xml:space="preserve">МТР </w:t>
            </w:r>
            <w:r>
              <w:rPr>
                <w:rFonts w:ascii="Tahoma" w:hAnsi="Tahoma" w:cs="Tahoma"/>
                <w:i/>
                <w:sz w:val="20"/>
                <w:szCs w:val="20"/>
              </w:rPr>
              <w:t>Поставщика</w:t>
            </w:r>
            <w:r w:rsidRPr="00FB07BB">
              <w:rPr>
                <w:rFonts w:ascii="Tahoma" w:hAnsi="Tahoma" w:cs="Tahoma"/>
                <w:i/>
                <w:sz w:val="20"/>
                <w:szCs w:val="20"/>
              </w:rPr>
              <w:t xml:space="preserve"> являются рекомендованными, допускаются аналоги МТР со схожими техническими характеристиками. Применение </w:t>
            </w:r>
            <w:r>
              <w:rPr>
                <w:rFonts w:ascii="Tahoma" w:hAnsi="Tahoma" w:cs="Tahoma"/>
                <w:i/>
                <w:sz w:val="20"/>
                <w:szCs w:val="20"/>
              </w:rPr>
              <w:t>Поставщиком</w:t>
            </w:r>
            <w:r w:rsidRPr="00FB07BB">
              <w:rPr>
                <w:rFonts w:ascii="Tahoma" w:hAnsi="Tahoma" w:cs="Tahoma"/>
                <w:i/>
                <w:sz w:val="20"/>
                <w:szCs w:val="20"/>
              </w:rPr>
              <w:t xml:space="preserve"> аналогичной продукции, подлежит обязат</w:t>
            </w:r>
            <w:r>
              <w:rPr>
                <w:rFonts w:ascii="Tahoma" w:hAnsi="Tahoma" w:cs="Tahoma"/>
                <w:i/>
                <w:sz w:val="20"/>
                <w:szCs w:val="20"/>
              </w:rPr>
              <w:t>ельному согласованию Заказчиком/</w:t>
            </w:r>
            <w:r w:rsidRPr="00FB07BB">
              <w:rPr>
                <w:rFonts w:ascii="Tahoma" w:hAnsi="Tahoma" w:cs="Tahoma"/>
                <w:i/>
                <w:sz w:val="20"/>
                <w:szCs w:val="20"/>
              </w:rPr>
              <w:t>Заявителем потребности</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адресу:</w:t>
            </w:r>
            <w:hyperlink r:id="rId9" w:anchor="obshchie-usloviya-dogovorov" w:history="1">
              <w:r w:rsidR="00215F55" w:rsidRPr="0087054F">
                <w:rPr>
                  <w:rFonts w:ascii="Tahoma" w:eastAsia="Times New Roman" w:hAnsi="Tahoma" w:cs="Tahoma"/>
                  <w:color w:val="0000FF"/>
                  <w:u w:val="single"/>
                </w:rPr>
                <w:t>https://www.nornickel.ru/suppliers/contractual-</w:t>
              </w:r>
              <w:r w:rsidR="00215F55" w:rsidRPr="0087054F">
                <w:rPr>
                  <w:rFonts w:ascii="Tahoma" w:eastAsia="Times New Roman" w:hAnsi="Tahoma" w:cs="Tahoma"/>
                  <w:color w:val="0000FF"/>
                  <w:u w:val="single"/>
                </w:rPr>
                <w:lastRenderedPageBreak/>
                <w:t>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AF6B94" w:rsidP="00AF6DBF">
            <w:pPr>
              <w:spacing w:after="0" w:line="240" w:lineRule="auto"/>
              <w:jc w:val="both"/>
              <w:rPr>
                <w:rFonts w:ascii="Tahoma" w:hAnsi="Tahoma" w:cs="Tahoma"/>
                <w:spacing w:val="-5"/>
              </w:rPr>
            </w:pPr>
            <w:r w:rsidRPr="00AF6B94">
              <w:rPr>
                <w:rFonts w:ascii="Tahoma" w:hAnsi="Tahoma" w:cs="Tahoma"/>
                <w:bCs/>
              </w:rPr>
              <w:t xml:space="preserve">В соответствии с </w:t>
            </w:r>
            <w:r w:rsidR="00AF6DBF">
              <w:rPr>
                <w:rFonts w:ascii="Tahoma" w:hAnsi="Tahoma" w:cs="Tahoma"/>
                <w:bCs/>
              </w:rPr>
              <w:t>Спецификацией</w:t>
            </w:r>
            <w:r>
              <w:rPr>
                <w:rFonts w:ascii="Tahoma" w:hAnsi="Tahoma" w:cs="Tahoma"/>
                <w:bCs/>
              </w:rPr>
              <w:t xml:space="preserve"> </w:t>
            </w:r>
            <w:r w:rsidRPr="00897A7D">
              <w:rPr>
                <w:rFonts w:ascii="Tahoma" w:hAnsi="Tahoma" w:cs="Tahoma"/>
                <w:spacing w:val="-5"/>
              </w:rPr>
              <w:t>(Приложение</w:t>
            </w:r>
            <w:r>
              <w:rPr>
                <w:rFonts w:ascii="Tahoma" w:hAnsi="Tahoma" w:cs="Tahoma"/>
                <w:spacing w:val="-5"/>
              </w:rPr>
              <w:t xml:space="preserve"> №</w:t>
            </w:r>
            <w:r w:rsidR="00AF6DBF">
              <w:rPr>
                <w:rFonts w:ascii="Tahoma" w:hAnsi="Tahoma" w:cs="Tahoma"/>
                <w:spacing w:val="-5"/>
              </w:rPr>
              <w:t xml:space="preserve"> </w:t>
            </w:r>
            <w:r>
              <w:rPr>
                <w:rFonts w:ascii="Tahoma" w:hAnsi="Tahoma" w:cs="Tahoma"/>
                <w:spacing w:val="-5"/>
              </w:rPr>
              <w:t>1</w:t>
            </w:r>
            <w:r w:rsidR="00C54F70">
              <w:rPr>
                <w:rFonts w:ascii="Tahoma" w:hAnsi="Tahoma" w:cs="Tahoma"/>
                <w:spacing w:val="-5"/>
              </w:rPr>
              <w:t xml:space="preserve"> </w:t>
            </w:r>
            <w:r w:rsidR="00AF6DBF">
              <w:rPr>
                <w:rFonts w:ascii="Tahoma" w:hAnsi="Tahoma" w:cs="Tahoma"/>
                <w:spacing w:val="-5"/>
              </w:rPr>
              <w:br/>
            </w:r>
            <w:r>
              <w:rPr>
                <w:rFonts w:ascii="Tahoma" w:hAnsi="Tahoma" w:cs="Tahoma"/>
                <w:spacing w:val="-5"/>
              </w:rPr>
              <w:t>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C55F6" w:rsidRPr="00897A7D"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w:t>
            </w:r>
            <w:r w:rsidR="00E329F2">
              <w:rPr>
                <w:rFonts w:ascii="Tahoma" w:hAnsi="Tahoma" w:cs="Tahoma"/>
              </w:rPr>
              <w:t xml:space="preserve">(с НДС, либо без НДС, для УСН также указывать </w:t>
            </w:r>
            <w:r w:rsidR="00E329F2" w:rsidRPr="00790CCA">
              <w:rPr>
                <w:rFonts w:ascii="Tahoma" w:hAnsi="Tahoma" w:cs="Tahoma"/>
              </w:rPr>
              <w:t>размер ставки НДС – 0%, 5%, 7%, 20%</w:t>
            </w:r>
            <w:r w:rsidR="00E329F2">
              <w:rPr>
                <w:rFonts w:ascii="Tahoma" w:hAnsi="Tahoma" w:cs="Tahoma"/>
              </w:rPr>
              <w:t>)</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r w:rsidRPr="00897A7D">
              <w:rPr>
                <w:rFonts w:ascii="Tahoma" w:hAnsi="Tahoma" w:cs="Tahoma"/>
                <w:sz w:val="22"/>
                <w:szCs w:val="22"/>
              </w:rPr>
              <w:lastRenderedPageBreak/>
              <w:t>(</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AF6DBF"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AF6DBF" w:rsidP="00845EBE">
      <w:pPr>
        <w:pStyle w:val="ae"/>
        <w:numPr>
          <w:ilvl w:val="0"/>
          <w:numId w:val="16"/>
        </w:numPr>
        <w:rPr>
          <w:rFonts w:ascii="Tahoma" w:hAnsi="Tahoma" w:cs="Tahoma"/>
          <w:sz w:val="22"/>
          <w:szCs w:val="22"/>
        </w:rPr>
      </w:pPr>
      <w:r>
        <w:rPr>
          <w:rFonts w:ascii="Tahoma" w:hAnsi="Tahoma" w:cs="Tahoma"/>
          <w:sz w:val="22"/>
          <w:szCs w:val="22"/>
        </w:rPr>
        <w:t>Спецификация №</w:t>
      </w:r>
      <w:r w:rsidRPr="00AF6DBF">
        <w:rPr>
          <w:rFonts w:ascii="Tahoma" w:eastAsiaTheme="minorHAnsi" w:hAnsi="Tahoma" w:cs="Tahoma"/>
          <w:sz w:val="22"/>
          <w:szCs w:val="22"/>
        </w:rPr>
        <w:t>10723069</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C54F70" w:rsidRDefault="00AF6DBF"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bookmarkStart w:id="2" w:name="_GoBack"/>
      <w:bookmarkEnd w:id="2"/>
      <w:r w:rsidR="00462A57" w:rsidRPr="00C54F70">
        <w:rPr>
          <w:rFonts w:ascii="Tahoma" w:hAnsi="Tahoma" w:cs="Tahoma"/>
          <w:color w:val="000000"/>
          <w:sz w:val="22"/>
          <w:szCs w:val="22"/>
        </w:rPr>
        <w:t>.</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AF6DBF">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AF6DBF"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AF6DBF"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AF6DBF"/>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1C134"/>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2D460-84E7-4CDE-8EF3-AF6D3A803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985</TotalTime>
  <Pages>4</Pages>
  <Words>1412</Words>
  <Characters>8050</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14</cp:revision>
  <cp:lastPrinted>2019-09-05T06:23:00Z</cp:lastPrinted>
  <dcterms:created xsi:type="dcterms:W3CDTF">2023-03-30T14:55:00Z</dcterms:created>
  <dcterms:modified xsi:type="dcterms:W3CDTF">2025-06-26T08:51:00Z</dcterms:modified>
</cp:coreProperties>
</file>