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8E056" w14:textId="77777777" w:rsidR="007F444A" w:rsidRDefault="007F444A" w:rsidP="00B10AE3">
      <w:pPr>
        <w:ind w:left="709"/>
        <w:jc w:val="right"/>
        <w:outlineLvl w:val="0"/>
        <w:rPr>
          <w:rFonts w:ascii="Tahoma" w:hAnsi="Tahoma" w:cs="Tahoma"/>
          <w:b/>
        </w:rPr>
      </w:pPr>
      <w:bookmarkStart w:id="0" w:name="_Toc450918089"/>
      <w:bookmarkStart w:id="1" w:name="_Toc458791446"/>
      <w:r>
        <w:rPr>
          <w:noProof/>
        </w:rPr>
        <w:drawing>
          <wp:anchor distT="0" distB="0" distL="114300" distR="114300" simplePos="0" relativeHeight="251659264" behindDoc="1" locked="0" layoutInCell="1" allowOverlap="1" wp14:anchorId="5BC8B9D6" wp14:editId="3E8E1E2F">
            <wp:simplePos x="0" y="0"/>
            <wp:positionH relativeFrom="column">
              <wp:posOffset>4352834</wp:posOffset>
            </wp:positionH>
            <wp:positionV relativeFrom="paragraph">
              <wp:posOffset>-683441</wp:posOffset>
            </wp:positionV>
            <wp:extent cx="2091055" cy="2069465"/>
            <wp:effectExtent l="0" t="0" r="4445" b="6985"/>
            <wp:wrapNone/>
            <wp:docPr id="1" name="Рисунок 1" descr="C:\MIG\Maket\1 НОВЫЙ\В работе Черно белый\чб вариант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MIG\Maket\1 НОВЫЙ\В работе Черно белый\чб вариант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206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833030" w14:textId="77777777" w:rsidR="007F444A" w:rsidRDefault="007F444A" w:rsidP="00B10AE3">
      <w:pPr>
        <w:ind w:left="709"/>
        <w:jc w:val="right"/>
        <w:outlineLvl w:val="0"/>
        <w:rPr>
          <w:rFonts w:ascii="Tahoma" w:hAnsi="Tahoma" w:cs="Tahoma"/>
          <w:b/>
        </w:rPr>
      </w:pPr>
    </w:p>
    <w:p w14:paraId="1BDC7F7A" w14:textId="77777777" w:rsidR="007F444A" w:rsidRDefault="007F444A" w:rsidP="00B10AE3">
      <w:pPr>
        <w:ind w:left="709"/>
        <w:jc w:val="right"/>
        <w:outlineLvl w:val="0"/>
        <w:rPr>
          <w:rFonts w:ascii="Tahoma" w:hAnsi="Tahoma" w:cs="Tahoma"/>
          <w:b/>
        </w:rPr>
      </w:pPr>
    </w:p>
    <w:p w14:paraId="75131D38" w14:textId="77777777" w:rsidR="00B10AE3" w:rsidRPr="00BB0253" w:rsidRDefault="00B10AE3" w:rsidP="00B10AE3">
      <w:pPr>
        <w:ind w:left="709"/>
        <w:jc w:val="right"/>
        <w:outlineLvl w:val="0"/>
        <w:rPr>
          <w:rFonts w:ascii="Tahoma" w:hAnsi="Tahoma" w:cs="Tahoma"/>
          <w:b/>
        </w:rPr>
      </w:pPr>
      <w:bookmarkStart w:id="2" w:name="ПриложениеЖ"/>
      <w:bookmarkEnd w:id="0"/>
      <w:bookmarkEnd w:id="1"/>
      <w:bookmarkEnd w:id="2"/>
    </w:p>
    <w:p w14:paraId="7954EC7E" w14:textId="77777777" w:rsidR="00B10AE3" w:rsidRPr="00BB0253" w:rsidRDefault="00B10AE3" w:rsidP="00B10AE3">
      <w:pPr>
        <w:rPr>
          <w:rFonts w:ascii="Tahoma" w:hAnsi="Tahoma" w:cs="Tahom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262"/>
        <w:gridCol w:w="363"/>
        <w:gridCol w:w="1789"/>
      </w:tblGrid>
      <w:tr w:rsidR="00B10AE3" w:rsidRPr="00BB0253" w14:paraId="24EC2E7F" w14:textId="77777777" w:rsidTr="007F444A">
        <w:trPr>
          <w:trHeight w:val="54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01A76B" w14:textId="77777777" w:rsidR="00B10AE3" w:rsidRPr="00BB0253" w:rsidRDefault="00B10AE3" w:rsidP="006713C3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808146" w14:textId="08F3DC66" w:rsidR="00B10AE3" w:rsidRPr="00BB0253" w:rsidRDefault="00B10AE3" w:rsidP="006713C3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14:paraId="28EC2642" w14:textId="77777777" w:rsidR="00B10AE3" w:rsidRPr="00BB0253" w:rsidRDefault="00B10AE3" w:rsidP="006713C3">
            <w:pPr>
              <w:rPr>
                <w:rFonts w:ascii="Tahoma" w:hAnsi="Tahoma" w:cs="Tahoma"/>
                <w:sz w:val="20"/>
              </w:rPr>
            </w:pPr>
            <w:r w:rsidRPr="00BB0253">
              <w:rPr>
                <w:rFonts w:ascii="Tahoma" w:hAnsi="Tahoma" w:cs="Tahoma"/>
                <w:sz w:val="20"/>
              </w:rPr>
              <w:t>№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8484ED" w14:textId="0E5ADBA5" w:rsidR="00B10AE3" w:rsidRPr="00BB0253" w:rsidRDefault="00B10AE3" w:rsidP="001F6456">
            <w:pPr>
              <w:rPr>
                <w:rFonts w:ascii="Tahoma" w:hAnsi="Tahoma" w:cs="Tahoma"/>
                <w:sz w:val="20"/>
              </w:rPr>
            </w:pPr>
          </w:p>
        </w:tc>
      </w:tr>
      <w:tr w:rsidR="00B10AE3" w:rsidRPr="00BB0253" w14:paraId="31D2FFA0" w14:textId="77777777" w:rsidTr="006713C3">
        <w:trPr>
          <w:trHeight w:val="44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C09309" w14:textId="77777777" w:rsidR="00B10AE3" w:rsidRPr="00BB0253" w:rsidRDefault="00B10AE3" w:rsidP="006713C3">
            <w:pPr>
              <w:ind w:hanging="106"/>
              <w:rPr>
                <w:rFonts w:ascii="Tahoma" w:hAnsi="Tahoma" w:cs="Tahoma"/>
                <w:sz w:val="20"/>
              </w:rPr>
            </w:pPr>
          </w:p>
          <w:p w14:paraId="5DD56C07" w14:textId="77777777" w:rsidR="00B10AE3" w:rsidRPr="00BB0253" w:rsidRDefault="00B10AE3" w:rsidP="006713C3">
            <w:pPr>
              <w:ind w:hanging="106"/>
              <w:rPr>
                <w:rFonts w:ascii="Tahoma" w:hAnsi="Tahoma" w:cs="Tahoma"/>
                <w:sz w:val="20"/>
              </w:rPr>
            </w:pPr>
            <w:r w:rsidRPr="00BB0253">
              <w:rPr>
                <w:rFonts w:ascii="Tahoma" w:hAnsi="Tahoma" w:cs="Tahoma"/>
                <w:sz w:val="20"/>
              </w:rPr>
              <w:t>На №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E2561" w14:textId="77777777" w:rsidR="00B10AE3" w:rsidRPr="00BB0253" w:rsidRDefault="00B10AE3" w:rsidP="006713C3">
            <w:pPr>
              <w:spacing w:before="200"/>
              <w:rPr>
                <w:rFonts w:ascii="Tahoma" w:hAnsi="Tahoma" w:cs="Tahoma"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0CD61A" w14:textId="77777777" w:rsidR="00B10AE3" w:rsidRPr="00BB0253" w:rsidRDefault="00B10AE3" w:rsidP="006713C3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7E7171" w14:textId="77777777" w:rsidR="00B10AE3" w:rsidRPr="00BB0253" w:rsidRDefault="00B10AE3" w:rsidP="006713C3">
            <w:pPr>
              <w:spacing w:before="200"/>
              <w:rPr>
                <w:rFonts w:ascii="Tahoma" w:hAnsi="Tahoma" w:cs="Tahoma"/>
                <w:sz w:val="20"/>
              </w:rPr>
            </w:pPr>
          </w:p>
        </w:tc>
      </w:tr>
    </w:tbl>
    <w:p w14:paraId="06A57578" w14:textId="77777777" w:rsidR="00B10AE3" w:rsidRPr="00BB0253" w:rsidRDefault="00B10AE3" w:rsidP="00B10AE3">
      <w:pPr>
        <w:spacing w:after="120"/>
        <w:ind w:left="5103"/>
        <w:jc w:val="left"/>
        <w:rPr>
          <w:rFonts w:ascii="Tahoma" w:hAnsi="Tahoma" w:cs="Tahoma"/>
          <w:sz w:val="20"/>
        </w:rPr>
      </w:pPr>
    </w:p>
    <w:p w14:paraId="149835FE" w14:textId="77777777" w:rsidR="00B10AE3" w:rsidRPr="007F444A" w:rsidRDefault="00B10AE3" w:rsidP="00B10AE3">
      <w:pPr>
        <w:ind w:left="709"/>
        <w:jc w:val="center"/>
        <w:outlineLvl w:val="0"/>
        <w:rPr>
          <w:rFonts w:ascii="Tahoma" w:hAnsi="Tahoma" w:cs="Tahoma"/>
          <w:b/>
          <w:sz w:val="18"/>
          <w:szCs w:val="18"/>
        </w:rPr>
      </w:pPr>
      <w:bookmarkStart w:id="3" w:name="_Toc503366445"/>
      <w:bookmarkStart w:id="4" w:name="_Toc508030096"/>
      <w:bookmarkStart w:id="5" w:name="_Toc450918090"/>
      <w:bookmarkStart w:id="6" w:name="_Toc458791447"/>
      <w:r w:rsidRPr="007F444A">
        <w:rPr>
          <w:rFonts w:ascii="Tahoma" w:hAnsi="Tahoma" w:cs="Tahoma"/>
          <w:b/>
          <w:sz w:val="18"/>
          <w:szCs w:val="18"/>
        </w:rPr>
        <w:t>Приглашение к участию в Закупочной процедуре</w:t>
      </w:r>
      <w:bookmarkEnd w:id="3"/>
      <w:bookmarkEnd w:id="4"/>
    </w:p>
    <w:p w14:paraId="2E5C09FF" w14:textId="77777777" w:rsidR="00B10AE3" w:rsidRPr="007F444A" w:rsidRDefault="00B10AE3" w:rsidP="00B10AE3">
      <w:pPr>
        <w:rPr>
          <w:rFonts w:ascii="Tahoma" w:hAnsi="Tahoma" w:cs="Tahoma"/>
          <w:sz w:val="18"/>
          <w:szCs w:val="18"/>
        </w:rPr>
      </w:pPr>
    </w:p>
    <w:p w14:paraId="1BF8425F" w14:textId="5B86A40E" w:rsidR="00B10AE3" w:rsidRPr="007F444A" w:rsidRDefault="00B41F48" w:rsidP="00B10AE3">
      <w:pPr>
        <w:jc w:val="left"/>
        <w:rPr>
          <w:rFonts w:ascii="Tahoma" w:hAnsi="Tahoma" w:cs="Tahoma"/>
          <w:sz w:val="18"/>
          <w:szCs w:val="18"/>
        </w:rPr>
      </w:pPr>
      <w:r w:rsidRPr="00B41F48">
        <w:rPr>
          <w:rFonts w:ascii="Tahoma" w:hAnsi="Tahoma" w:cs="Tahoma"/>
          <w:sz w:val="18"/>
          <w:szCs w:val="18"/>
        </w:rPr>
        <w:t>Мурманский транспортный филиал ПАО «ГМК «Норильский никель»</w:t>
      </w:r>
      <w:r>
        <w:rPr>
          <w:rFonts w:ascii="Tahoma" w:hAnsi="Tahoma" w:cs="Tahoma"/>
          <w:sz w:val="18"/>
          <w:szCs w:val="18"/>
        </w:rPr>
        <w:t xml:space="preserve"> </w:t>
      </w:r>
      <w:r w:rsidR="00B10AE3" w:rsidRPr="007F444A">
        <w:rPr>
          <w:rFonts w:ascii="Tahoma" w:hAnsi="Tahoma" w:cs="Tahoma"/>
          <w:sz w:val="18"/>
          <w:szCs w:val="18"/>
        </w:rPr>
        <w:t>приглашает Вас принять участие в следующей Закупочной процедуре:</w:t>
      </w:r>
    </w:p>
    <w:tbl>
      <w:tblPr>
        <w:tblW w:w="9646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786"/>
        <w:gridCol w:w="4860"/>
      </w:tblGrid>
      <w:tr w:rsidR="00B10AE3" w:rsidRPr="007F444A" w14:paraId="47585347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6FBF9" w14:textId="77777777" w:rsidR="00B10AE3" w:rsidRPr="007F444A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1. 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B9899" w14:textId="77777777" w:rsidR="008D0E66" w:rsidRPr="008D0E66" w:rsidRDefault="008D0E66" w:rsidP="008D0E66">
            <w:pPr>
              <w:rPr>
                <w:rStyle w:val="af2"/>
                <w:rFonts w:ascii="Tahoma" w:hAnsi="Tahoma" w:cs="Tahoma"/>
                <w:b w:val="0"/>
              </w:rPr>
            </w:pPr>
            <w:r w:rsidRPr="008D0E66">
              <w:rPr>
                <w:rStyle w:val="af2"/>
                <w:rFonts w:ascii="Tahoma" w:hAnsi="Tahoma" w:cs="Tahoma"/>
                <w:b w:val="0"/>
              </w:rPr>
              <w:t>Количество и технические характеристики указаны во вкладке «Позиции».</w:t>
            </w:r>
          </w:p>
          <w:p w14:paraId="72CD418A" w14:textId="5C49CF8A" w:rsidR="00B10AE3" w:rsidRPr="007F444A" w:rsidRDefault="008D0E66" w:rsidP="008D0E66">
            <w:pPr>
              <w:rPr>
                <w:rFonts w:ascii="Tahoma" w:hAnsi="Tahoma" w:cs="Tahoma"/>
                <w:sz w:val="18"/>
                <w:szCs w:val="18"/>
              </w:rPr>
            </w:pPr>
            <w:r w:rsidRPr="00E4708F">
              <w:rPr>
                <w:rStyle w:val="af2"/>
                <w:rFonts w:ascii="Tahoma" w:hAnsi="Tahoma" w:cs="Tahoma"/>
              </w:rPr>
              <w:t>Допускаются аналоги, не уступающие по техническим характеристикам.</w:t>
            </w:r>
          </w:p>
        </w:tc>
      </w:tr>
      <w:tr w:rsidR="00B10AE3" w:rsidRPr="007F444A" w14:paraId="218383AA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FA648" w14:textId="77777777" w:rsidR="00B10AE3" w:rsidRPr="007F444A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E9AE" w14:textId="032B7F3A" w:rsidR="00B10AE3" w:rsidRPr="007F444A" w:rsidRDefault="00B41F48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B41F48"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B10AE3" w:rsidRPr="007F444A" w14:paraId="4B5416EC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E739" w14:textId="77777777" w:rsidR="00B10AE3" w:rsidRPr="007F444A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3. Инструмент проведения Закупки (редукцион, запрос цен/предложений).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96713" w14:textId="79135E41" w:rsidR="00B10AE3" w:rsidRPr="007F444A" w:rsidRDefault="00B41F48" w:rsidP="006713C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Запрос цен</w:t>
            </w:r>
          </w:p>
        </w:tc>
      </w:tr>
      <w:tr w:rsidR="00B10AE3" w:rsidRPr="007F444A" w14:paraId="4587BE02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03F76" w14:textId="77777777" w:rsidR="00B10AE3" w:rsidRPr="007F444A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4. Срок подачи предложения. Дата проведения редукциона и наименование ЭТП при использовании ЭТП или информация о способе и сроке подачи Коммерческого / Технико-коммерческого предложения.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9B899" w14:textId="77777777" w:rsidR="00B41F48" w:rsidRPr="0015542B" w:rsidRDefault="00B41F48" w:rsidP="00B41F48">
            <w:pPr>
              <w:ind w:right="-1"/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Срок подачи предложений – не менее  5 р.д. с даты публикации закупочной процедуры.</w:t>
            </w:r>
          </w:p>
          <w:p w14:paraId="488F8901" w14:textId="0F0BAD10" w:rsidR="00B10AE3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Заявку на участие в закупочной процедуре необходимо направить через систему</w:t>
            </w:r>
            <w:r w:rsidRPr="0015542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1554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SAP</w:t>
            </w:r>
            <w:r w:rsidRPr="0015542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1554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SRM</w:t>
            </w:r>
            <w:r w:rsidRPr="0015542B">
              <w:rPr>
                <w:rFonts w:ascii="Tahoma" w:hAnsi="Tahoma" w:cs="Tahoma"/>
                <w:b/>
                <w:sz w:val="18"/>
                <w:szCs w:val="18"/>
              </w:rPr>
              <w:t>.</w:t>
            </w:r>
          </w:p>
        </w:tc>
      </w:tr>
      <w:tr w:rsidR="00B41F48" w:rsidRPr="007F444A" w14:paraId="0122A228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139FB" w14:textId="77777777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5. Базис поставки.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4867" w14:textId="2B3D11E0" w:rsidR="00B41F48" w:rsidRDefault="001F6456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Мурманск,  ул. Траловая 105</w:t>
            </w:r>
          </w:p>
          <w:p w14:paraId="756A1132" w14:textId="77777777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1F48" w:rsidRPr="007F444A" w14:paraId="4D6F1BC6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376BB" w14:textId="77777777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6. Форма, условия и сроки оплаты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E9F22" w14:textId="77777777" w:rsidR="00B41F48" w:rsidRPr="006505E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  <w:r w:rsidRPr="006505EA">
              <w:rPr>
                <w:rFonts w:ascii="Tahoma" w:hAnsi="Tahoma" w:cs="Tahoma"/>
                <w:sz w:val="18"/>
                <w:szCs w:val="18"/>
              </w:rPr>
              <w:t xml:space="preserve">1. Безналичный расчет. </w:t>
            </w:r>
          </w:p>
          <w:p w14:paraId="028B8700" w14:textId="77777777" w:rsidR="00B41F48" w:rsidRPr="000F125C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  <w:r w:rsidRPr="006505EA">
              <w:rPr>
                <w:rFonts w:ascii="Tahoma" w:hAnsi="Tahoma" w:cs="Tahoma"/>
                <w:sz w:val="18"/>
                <w:szCs w:val="18"/>
              </w:rPr>
              <w:t>2.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F125C">
              <w:rPr>
                <w:rFonts w:ascii="Tahoma" w:hAnsi="Tahoma" w:cs="Tahoma"/>
                <w:sz w:val="18"/>
                <w:szCs w:val="18"/>
              </w:rPr>
              <w:t>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документов, являющихся основанием для платежа (счет на аванс и независимая гарантия (в случае ее оформления)).</w:t>
            </w:r>
          </w:p>
          <w:p w14:paraId="3DC6CA34" w14:textId="77777777" w:rsidR="00B41F48" w:rsidRPr="000F125C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0F125C">
              <w:rPr>
                <w:rFonts w:ascii="Tahoma" w:hAnsi="Tahoma" w:cs="Tahoma"/>
                <w:sz w:val="18"/>
                <w:szCs w:val="18"/>
              </w:rPr>
              <w:t xml:space="preserve">Авансовый платеж может быть произведен: </w:t>
            </w:r>
          </w:p>
          <w:p w14:paraId="0E47FBC2" w14:textId="77777777" w:rsidR="00B41F48" w:rsidRPr="000F125C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F54AD5">
              <w:rPr>
                <w:rFonts w:ascii="Tahoma" w:hAnsi="Tahoma" w:cs="Tahoma"/>
                <w:sz w:val="18"/>
                <w:szCs w:val="18"/>
              </w:rPr>
              <w:t xml:space="preserve">- на сумму не более 9 999 999 руб. в том числе НДС либо в иной валюте по курсу ЦБ РФ </w:t>
            </w:r>
            <w:r w:rsidRPr="000F125C">
              <w:rPr>
                <w:rFonts w:ascii="Tahoma" w:hAnsi="Tahoma" w:cs="Tahoma"/>
                <w:sz w:val="18"/>
                <w:szCs w:val="18"/>
              </w:rPr>
              <w:t xml:space="preserve">на дату оплаты. </w:t>
            </w:r>
          </w:p>
          <w:p w14:paraId="7A91FF84" w14:textId="77777777" w:rsidR="00B41F48" w:rsidRPr="000F125C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0F125C">
              <w:rPr>
                <w:rFonts w:ascii="Tahoma" w:hAnsi="Tahoma" w:cs="Tahoma"/>
                <w:sz w:val="18"/>
                <w:szCs w:val="18"/>
              </w:rPr>
              <w:t xml:space="preserve">Поставщиком может быть предоставлена независимая гарантия возврата авансового платежа. </w:t>
            </w:r>
          </w:p>
          <w:p w14:paraId="4E045414" w14:textId="77777777" w:rsidR="00B41F48" w:rsidRPr="000F125C" w:rsidRDefault="00B41F48" w:rsidP="00B41F48">
            <w:pPr>
              <w:rPr>
                <w:i/>
                <w:iCs/>
                <w:color w:val="FF0000"/>
                <w:sz w:val="20"/>
              </w:rPr>
            </w:pPr>
            <w:r w:rsidRPr="000F125C">
              <w:rPr>
                <w:rFonts w:ascii="Tahoma" w:hAnsi="Tahoma" w:cs="Tahoma"/>
                <w:i/>
                <w:sz w:val="18"/>
                <w:szCs w:val="18"/>
              </w:rPr>
              <w:t>Примечание: при прочих равных условиях приоритет может быть отдан участнику закупочной процедуры, не использующему</w:t>
            </w:r>
            <w:r w:rsidRPr="000F125C">
              <w:rPr>
                <w:i/>
                <w:iCs/>
                <w:color w:val="FF0000"/>
                <w:sz w:val="20"/>
              </w:rPr>
              <w:t xml:space="preserve"> </w:t>
            </w:r>
            <w:r w:rsidRPr="000F125C">
              <w:rPr>
                <w:rFonts w:ascii="Tahoma" w:hAnsi="Tahoma" w:cs="Tahoma"/>
                <w:i/>
                <w:sz w:val="18"/>
                <w:szCs w:val="18"/>
              </w:rPr>
              <w:t>авансовую форму расчетов либо предоставившему независимую гарантию обеспечения возврата авансового платежа.</w:t>
            </w:r>
          </w:p>
          <w:p w14:paraId="171A571D" w14:textId="77777777" w:rsidR="00B41F48" w:rsidRPr="00F54AD5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F54AD5">
              <w:rPr>
                <w:rFonts w:ascii="Tahoma" w:hAnsi="Tahoma" w:cs="Tahoma"/>
                <w:sz w:val="18"/>
                <w:szCs w:val="18"/>
              </w:rPr>
              <w:t>- на сумму 10 000 000 руб. и более, в т. ч. НДС либо в иной валюте по курсу ЦБ РФ на дату оплаты. На сумму авансового платежа должна быть оформлена независимая гарантия его возврата.</w:t>
            </w:r>
          </w:p>
          <w:p w14:paraId="688CB0D3" w14:textId="77777777" w:rsidR="00B41F48" w:rsidRPr="00F54AD5" w:rsidRDefault="00B41F48" w:rsidP="00B41F48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F54AD5">
              <w:rPr>
                <w:rFonts w:ascii="Tahoma" w:hAnsi="Tahoma" w:cs="Tahoma"/>
                <w:i/>
                <w:sz w:val="18"/>
                <w:szCs w:val="18"/>
              </w:rPr>
              <w:t>Примечание: при прочих равных условиях приоритет может быть отдан участнику закупочной процедуры, не использующему авансовую форму расчетов.</w:t>
            </w:r>
          </w:p>
          <w:p w14:paraId="78687ED1" w14:textId="34017673" w:rsidR="00B41F48" w:rsidRPr="00F54AD5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F54AD5">
              <w:rPr>
                <w:rFonts w:ascii="Tahoma" w:hAnsi="Tahoma" w:cs="Tahoma"/>
                <w:sz w:val="18"/>
                <w:szCs w:val="18"/>
              </w:rPr>
              <w:t xml:space="preserve">.3 Оплата осуществляется в первую рабочую пятницу после истечения </w:t>
            </w:r>
            <w:r>
              <w:rPr>
                <w:rFonts w:ascii="Tahoma" w:hAnsi="Tahoma" w:cs="Tahoma"/>
                <w:sz w:val="18"/>
                <w:szCs w:val="18"/>
              </w:rPr>
              <w:t>60</w:t>
            </w:r>
            <w:r w:rsidRPr="00F54AD5">
              <w:rPr>
                <w:rFonts w:ascii="Tahoma" w:hAnsi="Tahoma" w:cs="Tahoma"/>
                <w:sz w:val="18"/>
                <w:szCs w:val="18"/>
              </w:rPr>
              <w:t xml:space="preserve"> календарных дней с даты поступления от контрагента в Компанию оригиналов первичных учетных документов, подтверждающих исполнение контрагентом обязательств по договору, счета на оплату и счета-фактуры (в случае если операция облагается НДС) на бумажном носителе или </w:t>
            </w:r>
            <w:r w:rsidRPr="00F54AD5">
              <w:rPr>
                <w:rFonts w:ascii="Tahoma" w:hAnsi="Tahoma" w:cs="Tahoma"/>
                <w:sz w:val="18"/>
                <w:szCs w:val="18"/>
              </w:rPr>
              <w:lastRenderedPageBreak/>
              <w:t>в виде электронного документа, подписанного электронной подписью, при условии соблюдения установленных норм их оформления.</w:t>
            </w:r>
          </w:p>
          <w:p w14:paraId="5BD614E8" w14:textId="77777777" w:rsidR="00B41F48" w:rsidRPr="008E2EFF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EECE139" w14:textId="77777777" w:rsidR="00B41F48" w:rsidRPr="008E2EFF" w:rsidRDefault="00B41F48" w:rsidP="00B41F48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8E2EFF">
              <w:rPr>
                <w:rFonts w:ascii="Tahoma" w:hAnsi="Tahoma" w:cs="Tahoma"/>
                <w:i/>
                <w:sz w:val="18"/>
                <w:szCs w:val="18"/>
              </w:rPr>
              <w:t>Примечание: аванс должен быть использован для оплаты авансов субподрядчикам/соисполнителям /поставщикам и иных расходов, прямо связанных с исполнением сделки. В заявке на участие к закупочной процедуре необходимо указать конкретный перечень расходов, на который поставщик потратит аванс. Данные цели будут включены в условиях договора.</w:t>
            </w:r>
          </w:p>
          <w:p w14:paraId="2089127D" w14:textId="77777777" w:rsidR="00B41F48" w:rsidRPr="008E2EFF" w:rsidRDefault="00B41F48" w:rsidP="00B41F48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8E2EFF">
              <w:rPr>
                <w:rFonts w:ascii="Tahoma" w:hAnsi="Tahoma" w:cs="Tahoma"/>
                <w:i/>
                <w:sz w:val="18"/>
                <w:szCs w:val="18"/>
              </w:rPr>
              <w:t>Примечание: с условиями оформления независимых гарантий обеспечения исполнения обязательств по договорам, в том числе возврата авансового платежа, можно ознакомиться на сайте ПАО «ГМК «Норильский никель» по следующему адресу:</w:t>
            </w:r>
          </w:p>
          <w:p w14:paraId="45970387" w14:textId="77777777" w:rsidR="00B41F48" w:rsidRPr="007F444A" w:rsidRDefault="008D0E66" w:rsidP="00B41F48">
            <w:pPr>
              <w:rPr>
                <w:rFonts w:ascii="Tahoma" w:hAnsi="Tahoma" w:cs="Tahoma"/>
                <w:sz w:val="18"/>
                <w:szCs w:val="18"/>
              </w:rPr>
            </w:pPr>
            <w:hyperlink r:id="rId8" w:history="1">
              <w:r w:rsidR="00B41F48" w:rsidRPr="008E2EFF">
                <w:rPr>
                  <w:rFonts w:ascii="Tahoma" w:hAnsi="Tahoma" w:cs="Tahoma"/>
                  <w:i/>
                  <w:sz w:val="18"/>
                  <w:szCs w:val="18"/>
                </w:rPr>
                <w:t>https://www.nornickel.ru/suppliers/contractual-documentation/</w:t>
              </w:r>
            </w:hyperlink>
            <w:r w:rsidR="00B41F48" w:rsidRPr="008E2EFF">
              <w:rPr>
                <w:rFonts w:ascii="Tahoma" w:hAnsi="Tahoma" w:cs="Tahoma"/>
                <w:i/>
                <w:sz w:val="18"/>
                <w:szCs w:val="18"/>
              </w:rPr>
              <w:t xml:space="preserve"> (Приложение 2 о гарантиях)</w:t>
            </w:r>
          </w:p>
        </w:tc>
      </w:tr>
      <w:tr w:rsidR="00B41F48" w:rsidRPr="007F444A" w14:paraId="31D04B6C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94A94" w14:textId="77777777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lastRenderedPageBreak/>
              <w:t>7. График / Срок поставки / выполнения работ / оказания услуг.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EECD4" w14:textId="20D58B6B" w:rsidR="00B41F48" w:rsidRPr="001F6456" w:rsidRDefault="001F6456" w:rsidP="00B41F48">
            <w:pPr>
              <w:tabs>
                <w:tab w:val="left" w:pos="153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Сроки поставки указаны в конкурсе на площадке </w:t>
            </w:r>
            <w:r w:rsidRPr="001554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SAP</w:t>
            </w:r>
            <w:r w:rsidRPr="0015542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1554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SRM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</w:p>
        </w:tc>
      </w:tr>
      <w:tr w:rsidR="00B41F48" w:rsidRPr="007F444A" w14:paraId="1552901C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A2FE0" w14:textId="77777777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8. Особые условия приемки, требования к упаковке и транспортировке продукции.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E3AA" w14:textId="77777777" w:rsidR="008D0E66" w:rsidRPr="008D0E66" w:rsidRDefault="008D0E66" w:rsidP="008D0E66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D0E66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Упаковка и условия транспортировки должны соответствовать требованиям:</w:t>
            </w:r>
          </w:p>
          <w:p w14:paraId="6AB9AC19" w14:textId="77777777" w:rsidR="008D0E66" w:rsidRPr="008D0E66" w:rsidRDefault="008D0E66" w:rsidP="008D0E66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D0E66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ГОСТ 26653-90 «Подготовка генеральных грузов к транспортированию»;</w:t>
            </w:r>
          </w:p>
          <w:p w14:paraId="700C35E3" w14:textId="77777777" w:rsidR="008D0E66" w:rsidRPr="008D0E66" w:rsidRDefault="008D0E66" w:rsidP="008D0E66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D0E66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ГОСТ 15846-2002 «Продукция, отправляемая в районы Крайнего Севера и приравненные к ним местности. Упаковка, маркировка, транспортирование и хранение»;</w:t>
            </w:r>
          </w:p>
          <w:p w14:paraId="193B5C59" w14:textId="1F7C3A81" w:rsidR="00B41F48" w:rsidRPr="007F444A" w:rsidRDefault="008D0E66" w:rsidP="008D0E66">
            <w:pPr>
              <w:rPr>
                <w:rFonts w:ascii="Tahoma" w:hAnsi="Tahoma" w:cs="Tahoma"/>
                <w:sz w:val="18"/>
                <w:szCs w:val="18"/>
              </w:rPr>
            </w:pPr>
            <w:r w:rsidRPr="008D0E66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ГОСТ 14192-96 «Маркировка грузов».</w:t>
            </w:r>
            <w:bookmarkStart w:id="7" w:name="_GoBack"/>
            <w:bookmarkEnd w:id="7"/>
          </w:p>
        </w:tc>
      </w:tr>
      <w:tr w:rsidR="00B41F48" w:rsidRPr="007F444A" w14:paraId="001237D1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F4A7B" w14:textId="77777777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9. Требования к сертификации Продукции, лицензиям, допускам к определенному виду работ (если необходимы).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90F07" w14:textId="6116D98A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Паспорт и/или удостоверение, и/или сертификат качества на Товар.</w:t>
            </w:r>
          </w:p>
        </w:tc>
      </w:tr>
      <w:tr w:rsidR="00B41F48" w:rsidRPr="007F444A" w14:paraId="2A973D50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1036" w14:textId="77777777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10.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 (если применимо).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EC5CF" w14:textId="3C1350C9" w:rsidR="00B41F48" w:rsidRPr="007F444A" w:rsidRDefault="00EE7C4F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Смазочное масло должно соответствовать требованиям Технического регламента Таможенного союза ТР ТС 030/2012 «О требованиях к смазочным материалам, маслам и специальным жидкостям»</w:t>
            </w:r>
          </w:p>
        </w:tc>
      </w:tr>
      <w:tr w:rsidR="00B41F48" w:rsidRPr="007F444A" w14:paraId="12182287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7F8DD" w14:textId="77777777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11. 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DEBF" w14:textId="464576E5" w:rsidR="00B41F48" w:rsidRPr="007F444A" w:rsidRDefault="00EE7C4F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B41F48" w:rsidRPr="007F444A" w14:paraId="0EF6F0A8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400D" w14:textId="77777777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12. 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закупок, проводимых в рамках Тендеров (например, письмо или справка банка о выдаче в случае заключения договора Поставщику соответствующей банковской гарантии / векселя).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3169A" w14:textId="71EEFBD7" w:rsidR="00B41F48" w:rsidRPr="007F444A" w:rsidRDefault="00EE7C4F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B41F48" w:rsidRPr="007F444A" w14:paraId="500E4400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B2749" w14:textId="77777777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 xml:space="preserve">13. Требование о представлении документов, подтверждающих правоспособность, благонадежность, платежеспособность и финансовую устойчивость Поставщика в соответствии с требованиями Положения о договорной работе.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F596" w14:textId="77777777" w:rsidR="00B41F48" w:rsidRPr="000B052E" w:rsidRDefault="00B41F48" w:rsidP="00B41F4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B052E">
              <w:rPr>
                <w:rFonts w:ascii="Tahoma" w:hAnsi="Tahoma" w:cs="Tahoma"/>
                <w:b/>
                <w:sz w:val="18"/>
                <w:szCs w:val="18"/>
              </w:rPr>
              <w:t>Для юридических лиц:</w:t>
            </w:r>
          </w:p>
          <w:p w14:paraId="22403BB5" w14:textId="59C3A524" w:rsidR="00B41F48" w:rsidRPr="000B052E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Pr="000B052E">
              <w:rPr>
                <w:rFonts w:ascii="Tahoma" w:hAnsi="Tahoma" w:cs="Tahoma"/>
                <w:sz w:val="18"/>
                <w:szCs w:val="18"/>
              </w:rPr>
              <w:t>выписка из Единого государственного реестра юридических лиц, выданная не ранее чем за</w:t>
            </w:r>
            <w:r>
              <w:rPr>
                <w:rFonts w:ascii="Tahoma" w:hAnsi="Tahoma" w:cs="Tahoma"/>
                <w:sz w:val="18"/>
                <w:szCs w:val="18"/>
              </w:rPr>
              <w:t xml:space="preserve"> один месяц до дня предъявления</w:t>
            </w:r>
            <w:r w:rsidRPr="000B052E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153F5BC8" w14:textId="77777777" w:rsidR="00B41F48" w:rsidRPr="000B052E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учредительные документы со всеми изменениями;</w:t>
            </w:r>
          </w:p>
          <w:p w14:paraId="3AB0D702" w14:textId="77777777" w:rsidR="00B41F48" w:rsidRPr="000B052E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 xml:space="preserve">решение либо выписку из решения органа управления контрагента, к компетенции которого уставом отнесен вопрос об избрании (назначении) единоличного исполнительного органа; </w:t>
            </w:r>
          </w:p>
          <w:p w14:paraId="2D3528EA" w14:textId="77777777" w:rsidR="00B41F48" w:rsidRPr="000B052E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 xml:space="preserve">документы, подтверждающие согласие на совершение сделки / одобрение сделки органами управления контрагента в случаях, предусмотренных </w:t>
            </w:r>
            <w:r w:rsidRPr="000B052E">
              <w:rPr>
                <w:rFonts w:ascii="Tahoma" w:hAnsi="Tahoma" w:cs="Tahoma"/>
                <w:sz w:val="18"/>
                <w:szCs w:val="18"/>
              </w:rPr>
              <w:lastRenderedPageBreak/>
              <w:t>действующим законодательством или учредительными документами контрагента;</w:t>
            </w:r>
          </w:p>
          <w:p w14:paraId="6B6F73E5" w14:textId="2E550651" w:rsidR="00B41F48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бухгалтерский баланс и отчет о финансовых результатах с приложениями за последний завершенный финансовый год (в случае предоставления в виде сканированного образа – вместе с копиями протокола входного контроля и кви</w:t>
            </w:r>
            <w:r>
              <w:rPr>
                <w:rFonts w:ascii="Tahoma" w:hAnsi="Tahoma" w:cs="Tahoma"/>
                <w:sz w:val="18"/>
                <w:szCs w:val="18"/>
              </w:rPr>
              <w:t xml:space="preserve">танции о приеме отчетности) </w:t>
            </w:r>
            <w:r w:rsidRPr="000B052E">
              <w:rPr>
                <w:rFonts w:ascii="Tahoma" w:hAnsi="Tahoma" w:cs="Tahoma"/>
                <w:sz w:val="18"/>
                <w:szCs w:val="18"/>
              </w:rPr>
              <w:t xml:space="preserve">(в случае заключения договора с финансовой организацией предоставляются сведения о сетевом ресурсе, на котором размещена отчетность организации); </w:t>
            </w:r>
          </w:p>
          <w:p w14:paraId="2DBDFEB2" w14:textId="77777777" w:rsidR="00B41F48" w:rsidRPr="000B052E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для контрагентов, применяющих упрощенную систему налогообложения –  уведомление налогового органа о переходе налогоплательщика на упрощенную систему налогообложения;</w:t>
            </w:r>
          </w:p>
          <w:p w14:paraId="6CE0B8B8" w14:textId="77777777" w:rsidR="00B41F48" w:rsidRPr="000B052E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организациями);</w:t>
            </w:r>
          </w:p>
          <w:p w14:paraId="041B64AE" w14:textId="77777777" w:rsidR="00B41F48" w:rsidRPr="000B052E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для контрагентов, полномочия единоличного исполнительного органа которого переданы управляющей компании, – договор с управляющей компанией и документа об избрании (назначении) единоличного исполнительного органа компании;</w:t>
            </w:r>
          </w:p>
          <w:p w14:paraId="29F2282D" w14:textId="77777777" w:rsidR="00B41F48" w:rsidRPr="000B052E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документы об избрании членов органов управления контрагента;</w:t>
            </w:r>
          </w:p>
          <w:p w14:paraId="49FC0C55" w14:textId="77777777" w:rsidR="00B41F48" w:rsidRPr="000B052E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доверенность на заключение договора – в случае, если договор подписывается не исполнительным органом контрагента / акт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образованиями);</w:t>
            </w:r>
          </w:p>
          <w:p w14:paraId="6571E561" w14:textId="77777777" w:rsidR="00B41F48" w:rsidRPr="000B052E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лицензии, патенты, допуски и т. п. – при заключении договоров на выполнение работ, оказание услуг и т. п., требующих в соответствии с действующим законодательством наличия соответствующего разрешения или уведомления;</w:t>
            </w:r>
          </w:p>
          <w:p w14:paraId="5D79A589" w14:textId="77777777" w:rsidR="00B41F48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документы, подтверждающие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 п.);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1ED056CF" w14:textId="75361A9A" w:rsidR="00B41F48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Pr="00392D4A">
              <w:rPr>
                <w:rFonts w:ascii="Tahoma" w:hAnsi="Tahoma" w:cs="Tahoma"/>
                <w:sz w:val="18"/>
                <w:szCs w:val="18"/>
              </w:rPr>
              <w:t>информаци</w:t>
            </w:r>
            <w:r>
              <w:rPr>
                <w:rFonts w:ascii="Tahoma" w:hAnsi="Tahoma" w:cs="Tahoma"/>
                <w:sz w:val="18"/>
                <w:szCs w:val="18"/>
              </w:rPr>
              <w:t>я</w:t>
            </w:r>
            <w:r w:rsidRPr="00392D4A">
              <w:rPr>
                <w:rFonts w:ascii="Tahoma" w:hAnsi="Tahoma" w:cs="Tahoma"/>
                <w:sz w:val="18"/>
                <w:szCs w:val="18"/>
              </w:rPr>
              <w:t xml:space="preserve"> о бенефициарных владельцах (кроме контрагентов, которые в соответствии с законом не обязаны располагать такой информацией, и юридических лиц, информация о бенефициарных владельцах которых может быть установлена на основании сведений Единого государственного реестра юридических лиц)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399EF51A" w14:textId="76BB5024" w:rsidR="00B41F48" w:rsidRDefault="00B41F48" w:rsidP="00B41F4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92D4A">
              <w:rPr>
                <w:rFonts w:ascii="Tahoma" w:hAnsi="Tahoma" w:cs="Tahoma"/>
                <w:b/>
                <w:sz w:val="18"/>
                <w:szCs w:val="18"/>
              </w:rPr>
              <w:t>Для индивидуальных предпринимателей:</w:t>
            </w:r>
          </w:p>
          <w:p w14:paraId="5C9BB749" w14:textId="712C71DE" w:rsidR="00B41F48" w:rsidRPr="00E62225" w:rsidRDefault="00B41F48" w:rsidP="00B41F48">
            <w:pPr>
              <w:numPr>
                <w:ilvl w:val="0"/>
                <w:numId w:val="2"/>
              </w:numPr>
              <w:tabs>
                <w:tab w:val="left" w:pos="709"/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 xml:space="preserve">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предъявления; </w:t>
            </w:r>
          </w:p>
          <w:p w14:paraId="5CD34894" w14:textId="77777777" w:rsidR="00B41F48" w:rsidRPr="00E62225" w:rsidRDefault="00B41F48" w:rsidP="00B41F48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lastRenderedPageBreak/>
              <w:t>реквизиты основного документа, удостоверяющего личность физического лица на территории Российской Федерации;</w:t>
            </w:r>
          </w:p>
          <w:p w14:paraId="30944689" w14:textId="4EBEBDD7" w:rsidR="00B41F48" w:rsidRDefault="00B41F48" w:rsidP="00B41F48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налогообложения;</w:t>
            </w:r>
          </w:p>
          <w:p w14:paraId="0685B6AD" w14:textId="603566B2" w:rsidR="00B41F48" w:rsidRPr="00A17467" w:rsidRDefault="00B41F48" w:rsidP="00B41F48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A17467">
              <w:rPr>
                <w:rFonts w:ascii="Tahoma" w:hAnsi="Tahoma" w:cs="Tahoma"/>
                <w:sz w:val="18"/>
                <w:szCs w:val="18"/>
              </w:rPr>
              <w:t>налоговая отчетность, содержащая информацию о сумме полученных доходов, за последний отчетный период (если такая отчетность составляется в соответствии с применяемой системой налогообложения)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4362B768" w14:textId="1B2EC6D7" w:rsidR="00B41F48" w:rsidRPr="00E62225" w:rsidRDefault="00B41F48" w:rsidP="00B41F48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декларация конфликта интересов по форме, установленной нормативно-методическими документами Компании</w:t>
            </w:r>
            <w:r w:rsidRPr="00E62225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Pr="00E62225">
              <w:rPr>
                <w:rFonts w:ascii="Tahoma" w:hAnsi="Tahoma" w:cs="Tahoma"/>
                <w:sz w:val="18"/>
                <w:szCs w:val="18"/>
              </w:rPr>
              <w:t>в области предупреждения и урегулирования конфликта интересов</w:t>
            </w:r>
            <w:r>
              <w:rPr>
                <w:rFonts w:ascii="Tahoma" w:hAnsi="Tahoma" w:cs="Tahoma"/>
                <w:sz w:val="18"/>
                <w:szCs w:val="18"/>
              </w:rPr>
              <w:t xml:space="preserve"> (предоставляется по форме ПАО «ГМК «Норильский никель», прилагаемой к настоящему приглашению)</w:t>
            </w:r>
            <w:r w:rsidRPr="00E62225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3D22EF1E" w14:textId="77777777" w:rsidR="00B41F48" w:rsidRPr="00E62225" w:rsidRDefault="00B41F48" w:rsidP="00B41F48">
            <w:pPr>
              <w:pStyle w:val="ae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доверенность на заключение договора – в случае, если договор подписывается не индивидуальным предпринимателем;</w:t>
            </w:r>
          </w:p>
          <w:p w14:paraId="003C1FAE" w14:textId="77777777" w:rsidR="00B41F48" w:rsidRPr="00E62225" w:rsidRDefault="00B41F48" w:rsidP="00B41F48">
            <w:pPr>
              <w:pStyle w:val="ae"/>
              <w:numPr>
                <w:ilvl w:val="0"/>
                <w:numId w:val="2"/>
              </w:numPr>
              <w:tabs>
                <w:tab w:val="left" w:pos="993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лицензии, патенты, допуски и т. п. –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уведомления;</w:t>
            </w:r>
          </w:p>
          <w:p w14:paraId="1D97F828" w14:textId="5EA84882" w:rsidR="00B41F48" w:rsidRDefault="00B41F48" w:rsidP="00B41F48">
            <w:pPr>
              <w:pStyle w:val="ae"/>
              <w:numPr>
                <w:ilvl w:val="0"/>
                <w:numId w:val="2"/>
              </w:numPr>
              <w:tabs>
                <w:tab w:val="left" w:pos="993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документы, подтверждающие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 п.)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78F28ED2" w14:textId="7FCACAE1" w:rsidR="00B41F48" w:rsidRDefault="00B41F48" w:rsidP="00B41F48">
            <w:pPr>
              <w:tabs>
                <w:tab w:val="left" w:pos="993"/>
                <w:tab w:val="left" w:pos="1134"/>
              </w:tabs>
              <w:rPr>
                <w:rFonts w:ascii="Tahoma" w:hAnsi="Tahoma" w:cs="Tahoma"/>
                <w:sz w:val="18"/>
                <w:szCs w:val="18"/>
              </w:rPr>
            </w:pPr>
          </w:p>
          <w:p w14:paraId="21D6087C" w14:textId="664567C4" w:rsidR="00B41F48" w:rsidRDefault="00B41F48" w:rsidP="00B41F48">
            <w:pPr>
              <w:tabs>
                <w:tab w:val="left" w:pos="993"/>
                <w:tab w:val="left" w:pos="1134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Для все участников:</w:t>
            </w:r>
          </w:p>
          <w:p w14:paraId="222DBF3D" w14:textId="1D6C6876" w:rsidR="00B41F48" w:rsidRPr="00CF5B96" w:rsidRDefault="00B41F48" w:rsidP="00B41F48">
            <w:pPr>
              <w:tabs>
                <w:tab w:val="left" w:pos="993"/>
                <w:tab w:val="left" w:pos="1134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E4708F">
              <w:rPr>
                <w:rFonts w:ascii="Tahoma" w:hAnsi="Tahoma" w:cs="Tahoma"/>
                <w:sz w:val="18"/>
                <w:szCs w:val="18"/>
              </w:rPr>
              <w:t>Подтверждение того,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Федерации». В случае, если какие-либо сведения или документы из запрашиваемого перечня содержат инсайдерскую информацию, просим указать на конкретный пункт такого перечня, не раскрывая (не отражая) наименование таких сведений или документов и не предоставляя их.</w:t>
            </w:r>
          </w:p>
        </w:tc>
      </w:tr>
      <w:tr w:rsidR="00B41F48" w:rsidRPr="007F444A" w14:paraId="18DFE222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3A0B8" w14:textId="77777777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lastRenderedPageBreak/>
              <w:t>14. Требование о представлении документов, подтверждающих наличие деловых отношений между Поставщиком и производителем Продукции.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3C2D" w14:textId="77777777" w:rsidR="00EE7C4F" w:rsidRPr="00316ACE" w:rsidRDefault="00EE7C4F" w:rsidP="00EE7C4F">
            <w:pPr>
              <w:pStyle w:val="af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16ACE">
              <w:rPr>
                <w:rFonts w:ascii="Tahoma" w:hAnsi="Tahoma" w:cs="Tahoma"/>
                <w:sz w:val="18"/>
                <w:szCs w:val="18"/>
              </w:rPr>
              <w:t xml:space="preserve">Поставщик предоставляет письмо от завода-производителя смазочных материалов, подтверждающее полномочия Поставщика на поставку смазочных материалов от завода-изготовителя. </w:t>
            </w:r>
          </w:p>
          <w:p w14:paraId="7949A22F" w14:textId="06F34DC9" w:rsidR="00B41F48" w:rsidRPr="007F444A" w:rsidRDefault="00EE7C4F" w:rsidP="00EE7C4F">
            <w:pPr>
              <w:rPr>
                <w:rFonts w:ascii="Tahoma" w:hAnsi="Tahoma" w:cs="Tahoma"/>
                <w:sz w:val="18"/>
                <w:szCs w:val="18"/>
              </w:rPr>
            </w:pPr>
            <w:r w:rsidRPr="00316ACE">
              <w:rPr>
                <w:rFonts w:ascii="Tahoma" w:hAnsi="Tahoma" w:cs="Tahoma"/>
                <w:sz w:val="18"/>
                <w:szCs w:val="18"/>
              </w:rPr>
              <w:t>Наличие дилерского сертификата, когда участник не яв</w:t>
            </w:r>
            <w:r>
              <w:rPr>
                <w:rFonts w:ascii="Tahoma" w:hAnsi="Tahoma" w:cs="Tahoma"/>
                <w:sz w:val="18"/>
                <w:szCs w:val="18"/>
              </w:rPr>
              <w:t>ляется изготовителем продукции.</w:t>
            </w:r>
          </w:p>
        </w:tc>
      </w:tr>
      <w:tr w:rsidR="00B41F48" w:rsidRPr="007F444A" w14:paraId="65A7095E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2EBF8" w14:textId="77777777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15.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C83C8" w14:textId="5BF309D5" w:rsidR="00B41F48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Применимое право – РФ. Подсудность – арбитражный суд Мурманской области.</w:t>
            </w:r>
          </w:p>
          <w:p w14:paraId="6626BA25" w14:textId="446037C4" w:rsidR="00B41F48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Условия договора – </w:t>
            </w:r>
            <w:r w:rsidR="000E3A6D">
              <w:rPr>
                <w:rFonts w:ascii="Tahoma" w:hAnsi="Tahoma" w:cs="Tahoma"/>
                <w:sz w:val="18"/>
                <w:szCs w:val="18"/>
              </w:rPr>
              <w:t>в рамках, действующих договоров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6EF26F5C" w14:textId="78406056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1F48" w:rsidRPr="007F444A" w14:paraId="059E1A66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F392F" w14:textId="4372D06B" w:rsidR="00B41F48" w:rsidRPr="007F444A" w:rsidRDefault="00B41F48" w:rsidP="00EE7C4F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16. Требования к предоставлению отчетности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19857" w14:textId="1F28D6A1" w:rsidR="00B41F48" w:rsidRPr="007F444A" w:rsidRDefault="00FE7279" w:rsidP="00B41F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B41F48" w:rsidRPr="007F444A" w14:paraId="407E71FD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777E6" w14:textId="77777777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lastRenderedPageBreak/>
              <w:t>17.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78EA" w14:textId="3B5239C6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1F48" w:rsidRPr="007F444A" w14:paraId="0DA7D438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7CD9A" w14:textId="77777777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18. Иные требования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12C6A" w14:textId="7DE6598D" w:rsidR="00FE7279" w:rsidRPr="00FE7279" w:rsidRDefault="00FE7279" w:rsidP="00FE72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  <w:r w:rsidRPr="00FE7279">
              <w:rPr>
                <w:rFonts w:ascii="Tahoma" w:hAnsi="Tahoma" w:cs="Tahoma"/>
                <w:sz w:val="18"/>
                <w:szCs w:val="18"/>
              </w:rPr>
              <w:t>.1 В стоимость товаров должны быть включены все налоги и обязательные платежи все расходы на упаковку, маркировку, транспортировку.</w:t>
            </w:r>
          </w:p>
          <w:p w14:paraId="0558A752" w14:textId="08C5E69D" w:rsidR="00FE7279" w:rsidRPr="00FE7279" w:rsidRDefault="00FE7279" w:rsidP="00FE72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  <w:r w:rsidR="001F6456">
              <w:rPr>
                <w:rFonts w:ascii="Tahoma" w:hAnsi="Tahoma" w:cs="Tahoma"/>
                <w:sz w:val="18"/>
                <w:szCs w:val="18"/>
              </w:rPr>
              <w:t>.2</w:t>
            </w:r>
            <w:r w:rsidRPr="00FE7279">
              <w:rPr>
                <w:rFonts w:ascii="Tahoma" w:hAnsi="Tahoma" w:cs="Tahoma"/>
                <w:sz w:val="18"/>
                <w:szCs w:val="18"/>
              </w:rPr>
              <w:t>. Соответствие товара техническим условиям завода изготовителя.</w:t>
            </w:r>
          </w:p>
          <w:p w14:paraId="50C76CDA" w14:textId="5C7F39B8" w:rsidR="00B41F48" w:rsidRPr="007F444A" w:rsidRDefault="00B41F48" w:rsidP="00FE727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1F48" w:rsidRPr="007F444A" w14:paraId="7BFE3CC1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26D5" w14:textId="77777777" w:rsidR="00B41F48" w:rsidRPr="007F444A" w:rsidRDefault="00B41F48" w:rsidP="00B41F48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19. Срок действия КП/ТКП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FA5F3" w14:textId="26807A28" w:rsidR="00B41F48" w:rsidRPr="007F444A" w:rsidRDefault="00B41F48" w:rsidP="00FE7279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 xml:space="preserve">Не менее </w:t>
            </w:r>
            <w:r w:rsidR="00FE7279">
              <w:rPr>
                <w:rFonts w:ascii="Tahoma" w:hAnsi="Tahoma" w:cs="Tahoma"/>
                <w:sz w:val="18"/>
                <w:szCs w:val="18"/>
              </w:rPr>
              <w:t xml:space="preserve">30 </w:t>
            </w:r>
            <w:r w:rsidRPr="007F444A">
              <w:rPr>
                <w:rFonts w:ascii="Tahoma" w:hAnsi="Tahoma" w:cs="Tahoma"/>
                <w:sz w:val="18"/>
                <w:szCs w:val="18"/>
              </w:rPr>
              <w:t>календарных дней с даты направления</w:t>
            </w:r>
          </w:p>
        </w:tc>
      </w:tr>
    </w:tbl>
    <w:p w14:paraId="636DC461" w14:textId="77777777" w:rsidR="00B10AE3" w:rsidRPr="007F444A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</w:p>
    <w:p w14:paraId="67699291" w14:textId="77777777" w:rsidR="00B51002" w:rsidRPr="00FE7279" w:rsidRDefault="00B10AE3" w:rsidP="00B10AE3">
      <w:pPr>
        <w:ind w:firstLine="567"/>
        <w:rPr>
          <w:rFonts w:ascii="Tahoma" w:hAnsi="Tahoma" w:cs="Tahoma"/>
          <w:b/>
          <w:sz w:val="18"/>
          <w:szCs w:val="18"/>
        </w:rPr>
      </w:pPr>
      <w:r w:rsidRPr="00FE7279">
        <w:rPr>
          <w:rFonts w:ascii="Tahoma" w:hAnsi="Tahoma" w:cs="Tahoma"/>
          <w:b/>
          <w:sz w:val="18"/>
          <w:szCs w:val="18"/>
        </w:rPr>
        <w:t xml:space="preserve">Закупочная процедура, является внутренней процедурой выбора </w:t>
      </w:r>
      <w:r w:rsidR="00B51002" w:rsidRPr="00FE7279">
        <w:rPr>
          <w:rFonts w:ascii="Tahoma" w:hAnsi="Tahoma" w:cs="Tahoma"/>
          <w:b/>
          <w:sz w:val="18"/>
          <w:szCs w:val="18"/>
        </w:rPr>
        <w:t>Мурманским транспортным филиалом ПАО «ГМК «Норильский никель»</w:t>
      </w:r>
      <w:r w:rsidRPr="00FE7279">
        <w:rPr>
          <w:rFonts w:ascii="Tahoma" w:hAnsi="Tahoma" w:cs="Tahoma"/>
          <w:b/>
          <w:sz w:val="18"/>
          <w:szCs w:val="18"/>
        </w:rPr>
        <w:t xml:space="preserve">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14:paraId="5BC5A9DE" w14:textId="27C90FA2" w:rsidR="00B10AE3" w:rsidRPr="007F444A" w:rsidRDefault="00B51002" w:rsidP="00B10AE3">
      <w:pPr>
        <w:ind w:firstLine="567"/>
        <w:rPr>
          <w:rFonts w:ascii="Tahoma" w:hAnsi="Tahoma" w:cs="Tahoma"/>
          <w:sz w:val="18"/>
          <w:szCs w:val="18"/>
        </w:rPr>
      </w:pPr>
      <w:r w:rsidRPr="00E4708F">
        <w:rPr>
          <w:rFonts w:ascii="Tahoma" w:hAnsi="Tahoma" w:cs="Tahoma"/>
          <w:sz w:val="18"/>
          <w:szCs w:val="18"/>
        </w:rPr>
        <w:t>Мурманский транспортный филиал ПАО «ГМК Норильский никель»</w:t>
      </w:r>
      <w:r w:rsidR="00B10AE3" w:rsidRPr="007F444A">
        <w:rPr>
          <w:rFonts w:ascii="Tahoma" w:hAnsi="Tahoma" w:cs="Tahoma"/>
          <w:sz w:val="18"/>
          <w:szCs w:val="18"/>
        </w:rPr>
        <w:t xml:space="preserve">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14:paraId="49128DD4" w14:textId="65714C79" w:rsidR="00B10AE3" w:rsidRPr="007F444A" w:rsidRDefault="00B10AE3" w:rsidP="00B10AE3">
      <w:pPr>
        <w:ind w:firstLine="567"/>
        <w:rPr>
          <w:rFonts w:ascii="Tahoma" w:hAnsi="Tahoma" w:cs="Tahoma"/>
          <w:sz w:val="18"/>
          <w:szCs w:val="18"/>
        </w:rPr>
      </w:pPr>
      <w:r w:rsidRPr="007F444A">
        <w:rPr>
          <w:rFonts w:ascii="Tahoma" w:hAnsi="Tahoma" w:cs="Tahoma"/>
          <w:sz w:val="18"/>
          <w:szCs w:val="18"/>
        </w:rPr>
        <w:t xml:space="preserve">При этом любые расходы, связанные с участием в закупочной процедуре участник несет самостоятельно, указанные расходы ни при каких обстоятельствах </w:t>
      </w:r>
      <w:r w:rsidR="00B51002">
        <w:rPr>
          <w:rFonts w:ascii="Tahoma" w:hAnsi="Tahoma" w:cs="Tahoma"/>
          <w:sz w:val="18"/>
          <w:szCs w:val="18"/>
        </w:rPr>
        <w:t>Мурманским транспортным филиалом ПАО «ГМК «Норильский никель»</w:t>
      </w:r>
      <w:r w:rsidRPr="007F444A">
        <w:rPr>
          <w:rFonts w:ascii="Tahoma" w:hAnsi="Tahoma" w:cs="Tahoma"/>
          <w:sz w:val="18"/>
          <w:szCs w:val="18"/>
        </w:rPr>
        <w:t xml:space="preserve"> не возмещаются.</w:t>
      </w:r>
    </w:p>
    <w:p w14:paraId="5DA927EE" w14:textId="5FAF95F0" w:rsidR="00B10AE3" w:rsidRPr="007F444A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  <w:r w:rsidRPr="007F444A">
        <w:rPr>
          <w:rFonts w:ascii="Tahoma" w:hAnsi="Tahoma" w:cs="Tahoma"/>
          <w:sz w:val="18"/>
          <w:szCs w:val="18"/>
        </w:rPr>
        <w:t>Вопросы, связанные с организацией данной Закупочной процедуры, заполнению документации, предоставлению разъяснений можно направлять на электронный адрес</w:t>
      </w:r>
      <w:r w:rsidR="00B51002">
        <w:rPr>
          <w:rFonts w:ascii="Tahoma" w:hAnsi="Tahoma" w:cs="Tahoma"/>
          <w:sz w:val="18"/>
          <w:szCs w:val="18"/>
        </w:rPr>
        <w:t xml:space="preserve">, </w:t>
      </w:r>
      <w:r w:rsidR="00B51002" w:rsidRPr="00E4708F">
        <w:rPr>
          <w:rFonts w:ascii="Tahoma" w:hAnsi="Tahoma" w:cs="Tahoma"/>
          <w:sz w:val="18"/>
          <w:szCs w:val="18"/>
        </w:rPr>
        <w:t xml:space="preserve">указанный в параметрах конкурса в графе контактный </w:t>
      </w:r>
      <w:r w:rsidR="00B51002" w:rsidRPr="00E4708F">
        <w:rPr>
          <w:rFonts w:ascii="Tahoma" w:hAnsi="Tahoma" w:cs="Tahoma"/>
          <w:sz w:val="18"/>
          <w:szCs w:val="18"/>
          <w:lang w:val="en-US"/>
        </w:rPr>
        <w:t>email</w:t>
      </w:r>
      <w:r w:rsidRPr="007F444A">
        <w:rPr>
          <w:rFonts w:ascii="Tahoma" w:hAnsi="Tahoma" w:cs="Tahoma"/>
          <w:sz w:val="18"/>
          <w:szCs w:val="18"/>
        </w:rPr>
        <w:t>.</w:t>
      </w:r>
    </w:p>
    <w:p w14:paraId="47D5FA51" w14:textId="5427030E" w:rsidR="00B10AE3" w:rsidRPr="007F444A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  <w:r w:rsidRPr="007F444A">
        <w:rPr>
          <w:rFonts w:ascii="Tahoma" w:hAnsi="Tahoma" w:cs="Tahoma"/>
          <w:sz w:val="18"/>
          <w:szCs w:val="18"/>
        </w:rPr>
        <w:tab/>
        <w:t xml:space="preserve">Передача информации другим подразделениям </w:t>
      </w:r>
      <w:r w:rsidR="003D2DEC" w:rsidRPr="00E4708F">
        <w:rPr>
          <w:rFonts w:ascii="Tahoma" w:hAnsi="Tahoma" w:cs="Tahoma"/>
          <w:sz w:val="18"/>
          <w:szCs w:val="18"/>
        </w:rPr>
        <w:t>Мурманск</w:t>
      </w:r>
      <w:r w:rsidR="003D2DEC">
        <w:rPr>
          <w:rFonts w:ascii="Tahoma" w:hAnsi="Tahoma" w:cs="Tahoma"/>
          <w:sz w:val="18"/>
          <w:szCs w:val="18"/>
        </w:rPr>
        <w:t>ого</w:t>
      </w:r>
      <w:r w:rsidR="003D2DEC" w:rsidRPr="00E4708F">
        <w:rPr>
          <w:rFonts w:ascii="Tahoma" w:hAnsi="Tahoma" w:cs="Tahoma"/>
          <w:sz w:val="18"/>
          <w:szCs w:val="18"/>
        </w:rPr>
        <w:t xml:space="preserve"> транспорт</w:t>
      </w:r>
      <w:r w:rsidR="003D2DEC">
        <w:rPr>
          <w:rFonts w:ascii="Tahoma" w:hAnsi="Tahoma" w:cs="Tahoma"/>
          <w:sz w:val="18"/>
          <w:szCs w:val="18"/>
        </w:rPr>
        <w:t>ного</w:t>
      </w:r>
      <w:r w:rsidR="003D2DEC" w:rsidRPr="00E4708F">
        <w:rPr>
          <w:rFonts w:ascii="Tahoma" w:hAnsi="Tahoma" w:cs="Tahoma"/>
          <w:sz w:val="18"/>
          <w:szCs w:val="18"/>
        </w:rPr>
        <w:t xml:space="preserve"> филиал</w:t>
      </w:r>
      <w:r w:rsidR="003D2DEC">
        <w:rPr>
          <w:rFonts w:ascii="Tahoma" w:hAnsi="Tahoma" w:cs="Tahoma"/>
          <w:sz w:val="18"/>
          <w:szCs w:val="18"/>
        </w:rPr>
        <w:t>а</w:t>
      </w:r>
      <w:r w:rsidR="003D2DEC" w:rsidRPr="00E4708F">
        <w:rPr>
          <w:rFonts w:ascii="Tahoma" w:hAnsi="Tahoma" w:cs="Tahoma"/>
          <w:sz w:val="18"/>
          <w:szCs w:val="18"/>
        </w:rPr>
        <w:t xml:space="preserve"> ПАО «ГМК Норильский никель»</w:t>
      </w:r>
      <w:r w:rsidRPr="007F444A">
        <w:rPr>
          <w:rFonts w:ascii="Tahoma" w:hAnsi="Tahoma" w:cs="Tahoma"/>
          <w:sz w:val="18"/>
          <w:szCs w:val="18"/>
        </w:rPr>
        <w:t xml:space="preserve"> до объявления результатов Закупочной процедуры не допускается, при обнаружении подобных фактов, </w:t>
      </w:r>
      <w:r w:rsidR="003D2DEC" w:rsidRPr="00E4708F">
        <w:rPr>
          <w:rFonts w:ascii="Tahoma" w:hAnsi="Tahoma" w:cs="Tahoma"/>
          <w:sz w:val="18"/>
          <w:szCs w:val="18"/>
        </w:rPr>
        <w:t>Мурманский транспортный филиал ПАО «ГМК «Норильский никель»</w:t>
      </w:r>
      <w:r w:rsidRPr="007F444A">
        <w:rPr>
          <w:rFonts w:ascii="Tahoma" w:hAnsi="Tahoma" w:cs="Tahoma"/>
          <w:sz w:val="18"/>
          <w:szCs w:val="18"/>
        </w:rPr>
        <w:t xml:space="preserve"> оставляет за собой право исключить потенциального Поставщика из дальнейшего участия в Закупочной процедуре).</w:t>
      </w:r>
    </w:p>
    <w:p w14:paraId="76F0DAF3" w14:textId="77777777" w:rsidR="00B10AE3" w:rsidRPr="007F444A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</w:p>
    <w:p w14:paraId="110CA134" w14:textId="29DB0C07" w:rsidR="00B10AE3" w:rsidRPr="007F444A" w:rsidRDefault="00B10AE3" w:rsidP="00B10AE3">
      <w:pPr>
        <w:ind w:right="333" w:firstLine="567"/>
        <w:rPr>
          <w:rFonts w:ascii="Tahoma" w:hAnsi="Tahoma" w:cs="Tahoma"/>
          <w:b/>
          <w:sz w:val="18"/>
          <w:szCs w:val="18"/>
        </w:rPr>
      </w:pPr>
      <w:r w:rsidRPr="007F444A">
        <w:rPr>
          <w:rFonts w:ascii="Tahoma" w:hAnsi="Tahoma" w:cs="Tahoma"/>
          <w:sz w:val="18"/>
          <w:szCs w:val="18"/>
        </w:rPr>
        <w:t>Приложение</w:t>
      </w:r>
      <w:r w:rsidRPr="007F444A">
        <w:rPr>
          <w:rFonts w:ascii="Tahoma" w:hAnsi="Tahoma" w:cs="Tahoma"/>
          <w:b/>
          <w:sz w:val="18"/>
          <w:szCs w:val="18"/>
        </w:rPr>
        <w:t>:</w:t>
      </w:r>
    </w:p>
    <w:p w14:paraId="472379F1" w14:textId="77777777" w:rsidR="00DB03E0" w:rsidRPr="007F444A" w:rsidRDefault="00DB03E0" w:rsidP="00DB03E0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 w:rsidRPr="003D2DEC">
        <w:rPr>
          <w:rFonts w:ascii="Tahoma" w:hAnsi="Tahoma" w:cs="Tahoma"/>
          <w:sz w:val="18"/>
          <w:szCs w:val="18"/>
        </w:rPr>
        <w:t>Типовая форма договора.</w:t>
      </w:r>
    </w:p>
    <w:p w14:paraId="3DB22A23" w14:textId="77777777" w:rsidR="00DB03E0" w:rsidRPr="007F444A" w:rsidRDefault="00DB03E0" w:rsidP="00DB03E0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 w:rsidRPr="007F444A">
        <w:rPr>
          <w:rFonts w:ascii="Tahoma" w:hAnsi="Tahoma" w:cs="Tahoma"/>
          <w:sz w:val="18"/>
          <w:szCs w:val="18"/>
        </w:rPr>
        <w:t>Текст Заявки на участие в Закупочной процедуре</w:t>
      </w:r>
      <w:r>
        <w:rPr>
          <w:rFonts w:ascii="Tahoma" w:hAnsi="Tahoma" w:cs="Tahoma"/>
          <w:sz w:val="18"/>
          <w:szCs w:val="18"/>
        </w:rPr>
        <w:t>.</w:t>
      </w:r>
    </w:p>
    <w:bookmarkEnd w:id="5"/>
    <w:bookmarkEnd w:id="6"/>
    <w:p w14:paraId="50A95651" w14:textId="77777777" w:rsidR="00DB03E0" w:rsidRPr="007F444A" w:rsidRDefault="00DB03E0" w:rsidP="00DB03E0">
      <w:pPr>
        <w:ind w:left="1287" w:right="333"/>
        <w:rPr>
          <w:rFonts w:ascii="Tahoma" w:hAnsi="Tahoma" w:cs="Tahoma"/>
          <w:sz w:val="18"/>
          <w:szCs w:val="18"/>
        </w:rPr>
      </w:pPr>
    </w:p>
    <w:sectPr w:rsidR="00DB03E0" w:rsidRPr="007F4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AB8DC" w14:textId="77777777" w:rsidR="003464F5" w:rsidRDefault="003464F5" w:rsidP="00B10AE3">
      <w:r>
        <w:separator/>
      </w:r>
    </w:p>
  </w:endnote>
  <w:endnote w:type="continuationSeparator" w:id="0">
    <w:p w14:paraId="0132FF8D" w14:textId="77777777" w:rsidR="003464F5" w:rsidRDefault="003464F5" w:rsidP="00B1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7A28F" w14:textId="77777777" w:rsidR="003464F5" w:rsidRDefault="003464F5" w:rsidP="00B10AE3">
      <w:r>
        <w:separator/>
      </w:r>
    </w:p>
  </w:footnote>
  <w:footnote w:type="continuationSeparator" w:id="0">
    <w:p w14:paraId="4C4D3B6D" w14:textId="77777777" w:rsidR="003464F5" w:rsidRDefault="003464F5" w:rsidP="00B10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628AB"/>
    <w:multiLevelType w:val="hybridMultilevel"/>
    <w:tmpl w:val="E774E1BC"/>
    <w:lvl w:ilvl="0" w:tplc="5A0E49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DA7"/>
    <w:rsid w:val="000B052E"/>
    <w:rsid w:val="000E3A6D"/>
    <w:rsid w:val="001248B1"/>
    <w:rsid w:val="001B0638"/>
    <w:rsid w:val="001F6456"/>
    <w:rsid w:val="00244A2E"/>
    <w:rsid w:val="002A0B1D"/>
    <w:rsid w:val="003155B6"/>
    <w:rsid w:val="003464F5"/>
    <w:rsid w:val="00392D4A"/>
    <w:rsid w:val="003D2DEC"/>
    <w:rsid w:val="00426FE1"/>
    <w:rsid w:val="00446CE9"/>
    <w:rsid w:val="004A12F5"/>
    <w:rsid w:val="004B75F9"/>
    <w:rsid w:val="006837B9"/>
    <w:rsid w:val="006B44DD"/>
    <w:rsid w:val="007F444A"/>
    <w:rsid w:val="008D0E66"/>
    <w:rsid w:val="008E6F51"/>
    <w:rsid w:val="009570C6"/>
    <w:rsid w:val="009921BC"/>
    <w:rsid w:val="00A11D47"/>
    <w:rsid w:val="00A17467"/>
    <w:rsid w:val="00B10AE3"/>
    <w:rsid w:val="00B41F48"/>
    <w:rsid w:val="00B51002"/>
    <w:rsid w:val="00B969EE"/>
    <w:rsid w:val="00BB44A2"/>
    <w:rsid w:val="00CB1DA7"/>
    <w:rsid w:val="00CF5B96"/>
    <w:rsid w:val="00D20B06"/>
    <w:rsid w:val="00DB03E0"/>
    <w:rsid w:val="00DD70A9"/>
    <w:rsid w:val="00DF2EB6"/>
    <w:rsid w:val="00E62225"/>
    <w:rsid w:val="00EE7C4F"/>
    <w:rsid w:val="00FB6296"/>
    <w:rsid w:val="00FC3D56"/>
    <w:rsid w:val="00FC50EB"/>
    <w:rsid w:val="00FE3CAD"/>
    <w:rsid w:val="00FE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606B6"/>
  <w15:chartTrackingRefBased/>
  <w15:docId w15:val="{B54FBA5C-35EE-405F-BDBC-161BD213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A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B10AE3"/>
    <w:rPr>
      <w:vertAlign w:val="superscript"/>
    </w:rPr>
  </w:style>
  <w:style w:type="paragraph" w:styleId="a4">
    <w:name w:val="footnote text"/>
    <w:basedOn w:val="a"/>
    <w:link w:val="a5"/>
    <w:uiPriority w:val="99"/>
    <w:rsid w:val="00B10AE3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B10A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B10AE3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6837B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837B9"/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837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837B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837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837B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837B9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aliases w:val="Заголовок_3,Bullet_IRAO,Мой Список,нумерация,AC List 01,Подпись рисунка,Table-Normal,RSHB_Table-Normal,List Paragraph1,A_Bullet,Bullet List,FooterText,numbered,Цветной список - Акцент 11"/>
    <w:basedOn w:val="a"/>
    <w:link w:val="af"/>
    <w:uiPriority w:val="34"/>
    <w:qFormat/>
    <w:rsid w:val="00E62225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aliases w:val="Заголовок_3 Знак,Bullet_IRAO Знак,Мой Список Знак,нумерация Знак,AC List 01 Знак,Подпись рисунка Знак,Table-Normal Знак,RSHB_Table-Normal Знак,List Paragraph1 Знак,A_Bullet Знак,Bullet List Знак,FooterText Знак,numbered Знак"/>
    <w:link w:val="ae"/>
    <w:uiPriority w:val="34"/>
    <w:locked/>
    <w:rsid w:val="00E62225"/>
    <w:rPr>
      <w:rFonts w:ascii="Calibri" w:eastAsia="Calibri" w:hAnsi="Calibri" w:cs="Times New Roman"/>
    </w:rPr>
  </w:style>
  <w:style w:type="character" w:styleId="af0">
    <w:name w:val="FollowedHyperlink"/>
    <w:basedOn w:val="a0"/>
    <w:uiPriority w:val="99"/>
    <w:semiHidden/>
    <w:unhideWhenUsed/>
    <w:rsid w:val="00D20B06"/>
    <w:rPr>
      <w:color w:val="954F72" w:themeColor="followedHyperlink"/>
      <w:u w:val="single"/>
    </w:rPr>
  </w:style>
  <w:style w:type="paragraph" w:styleId="af1">
    <w:name w:val="No Spacing"/>
    <w:uiPriority w:val="1"/>
    <w:qFormat/>
    <w:rsid w:val="00EE7C4F"/>
    <w:pPr>
      <w:spacing w:after="0" w:line="240" w:lineRule="auto"/>
    </w:pPr>
  </w:style>
  <w:style w:type="character" w:customStyle="1" w:styleId="af2">
    <w:name w:val="ШапкаОсн"/>
    <w:uiPriority w:val="99"/>
    <w:rsid w:val="008D0E66"/>
    <w:rPr>
      <w:rFonts w:ascii="Arial" w:hAnsi="Arial" w:cs="Arial"/>
      <w:b/>
      <w:bCs/>
      <w:spacing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1960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13109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Цикра Марина Владимировна</dc:creator>
  <cp:keywords/>
  <dc:description/>
  <cp:lastModifiedBy>Тиханова Карина Эдуардовна</cp:lastModifiedBy>
  <cp:revision>3</cp:revision>
  <dcterms:created xsi:type="dcterms:W3CDTF">2024-07-26T08:43:00Z</dcterms:created>
  <dcterms:modified xsi:type="dcterms:W3CDTF">2024-09-21T11:17:00Z</dcterms:modified>
</cp:coreProperties>
</file>