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DF30E9" w:rsidRPr="00DF7C1D">
        <w:rPr>
          <w:rFonts w:ascii="Tahoma" w:hAnsi="Tahoma" w:cs="Tahoma"/>
          <w:b/>
          <w:szCs w:val="20"/>
        </w:rPr>
        <w:t>2004</w:t>
      </w:r>
      <w:r w:rsidR="00B55B86">
        <w:rPr>
          <w:rFonts w:ascii="Tahoma" w:hAnsi="Tahoma" w:cs="Tahoma"/>
          <w:b/>
          <w:szCs w:val="20"/>
        </w:rPr>
        <w:t>4</w:t>
      </w:r>
      <w:r w:rsidR="00511D28">
        <w:rPr>
          <w:rFonts w:ascii="Tahoma" w:hAnsi="Tahoma" w:cs="Tahoma"/>
          <w:b/>
          <w:szCs w:val="20"/>
        </w:rPr>
        <w:t>730</w:t>
      </w:r>
      <w:r w:rsidR="00162EC9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658"/>
        <w:gridCol w:w="3253"/>
      </w:tblGrid>
      <w:tr w:rsidR="003647C1" w:rsidRPr="00251161" w:rsidTr="00162EC9">
        <w:trPr>
          <w:trHeight w:val="472"/>
        </w:trPr>
        <w:tc>
          <w:tcPr>
            <w:tcW w:w="6658" w:type="dxa"/>
            <w:shd w:val="clear" w:color="auto" w:fill="auto"/>
          </w:tcPr>
          <w:p w:rsidR="003647C1" w:rsidRPr="00251161" w:rsidRDefault="003647C1" w:rsidP="00251161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511D2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511D28">
              <w:rPr>
                <w:rFonts w:ascii="Tahoma" w:hAnsi="Tahoma" w:cs="Tahoma"/>
              </w:rPr>
              <w:t>Капитальный ремонт вентилятора ВЦТ-20 №2 «Демонтаж, ремонт и монтаж» ХМЦ, пл. Мончегорск, в соответствии с техническим заданием № 101010385348</w:t>
            </w:r>
          </w:p>
        </w:tc>
        <w:tc>
          <w:tcPr>
            <w:tcW w:w="3253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5356E5">
        <w:trPr>
          <w:trHeight w:val="604"/>
        </w:trPr>
        <w:tc>
          <w:tcPr>
            <w:tcW w:w="6658" w:type="dxa"/>
            <w:shd w:val="clear" w:color="auto" w:fill="auto"/>
            <w:vAlign w:val="center"/>
          </w:tcPr>
          <w:p w:rsidR="00B55B86" w:rsidRPr="00AB291C" w:rsidRDefault="00B55B86" w:rsidP="00511D28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563DAE">
              <w:rPr>
                <w:rFonts w:ascii="Tahoma" w:hAnsi="Tahoma" w:cs="Tahoma"/>
                <w:b/>
                <w:spacing w:val="-5"/>
              </w:rPr>
              <w:t xml:space="preserve">с даты заключения договора </w:t>
            </w:r>
            <w:r w:rsidR="00511D28">
              <w:rPr>
                <w:rFonts w:ascii="Tahoma" w:hAnsi="Tahoma" w:cs="Tahoma"/>
                <w:b/>
                <w:spacing w:val="-5"/>
              </w:rPr>
              <w:t>не позднее</w:t>
            </w:r>
            <w:r w:rsidRPr="00563DAE">
              <w:rPr>
                <w:rFonts w:ascii="Tahoma" w:hAnsi="Tahoma" w:cs="Tahoma"/>
                <w:b/>
                <w:spacing w:val="-5"/>
              </w:rPr>
              <w:t xml:space="preserve"> 30.09.2025г.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29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Г. Мончегорск</w:t>
            </w:r>
          </w:p>
        </w:tc>
      </w:tr>
      <w:tr w:rsidR="00B55B86" w:rsidRPr="00251161" w:rsidTr="00162EC9">
        <w:trPr>
          <w:trHeight w:val="559"/>
        </w:trPr>
        <w:tc>
          <w:tcPr>
            <w:tcW w:w="6658" w:type="dxa"/>
            <w:shd w:val="clear" w:color="auto" w:fill="auto"/>
          </w:tcPr>
          <w:p w:rsidR="00B55B86" w:rsidRPr="00DF30E9" w:rsidRDefault="00B55B86" w:rsidP="00B55B8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251161">
              <w:rPr>
                <w:rFonts w:ascii="Tahoma" w:hAnsi="Tahoma" w:cs="Tahoma"/>
              </w:rPr>
              <w:t>Форма, условия и сроки оплаты.</w:t>
            </w:r>
            <w:r w:rsidRPr="00251161">
              <w:rPr>
                <w:rFonts w:ascii="Tahoma" w:hAnsi="Tahoma" w:cs="Tahoma"/>
              </w:rPr>
              <w:br/>
              <w:t xml:space="preserve"> </w:t>
            </w:r>
          </w:p>
          <w:p w:rsidR="00B55B86" w:rsidRPr="00B55B86" w:rsidRDefault="00B55B86" w:rsidP="00B55B8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5B86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B55B86" w:rsidRPr="00B55B86" w:rsidRDefault="00B55B86" w:rsidP="00B55B8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5B86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B55B86" w:rsidRPr="00B55B86" w:rsidRDefault="00B55B86" w:rsidP="00B55B8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55B86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B55B86" w:rsidRPr="00DF30E9" w:rsidRDefault="00B55B86" w:rsidP="00B55B8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</w:rPr>
            </w:pPr>
            <w:r w:rsidRPr="00B55B86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 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B55B86" w:rsidRPr="00251161" w:rsidRDefault="00B55B86" w:rsidP="00B55B86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55B86" w:rsidRPr="00251161" w:rsidRDefault="00B55B86" w:rsidP="00B55B86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B55B86" w:rsidRDefault="00B55B86" w:rsidP="00B55B86">
            <w:pPr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B55B86" w:rsidRPr="00251161" w:rsidRDefault="00B55B86" w:rsidP="00B55B86">
            <w:pPr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B55B86" w:rsidRPr="00251161" w:rsidRDefault="00B55B86" w:rsidP="00B55B86">
            <w:pPr>
              <w:pStyle w:val="ae"/>
              <w:rPr>
                <w:rFonts w:ascii="Tahoma" w:hAnsi="Tahoma" w:cs="Tahoma"/>
                <w:sz w:val="22"/>
                <w:szCs w:val="22"/>
              </w:rPr>
            </w:pPr>
          </w:p>
          <w:p w:rsidR="00B55B86" w:rsidRPr="00251161" w:rsidRDefault="00B55B86" w:rsidP="00B55B86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B55B86" w:rsidRPr="00251161" w:rsidRDefault="00B55B86" w:rsidP="00B55B86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B55B86" w:rsidRPr="0062439D" w:rsidRDefault="00B55B86" w:rsidP="00373D2B">
            <w:pPr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373D2B">
              <w:rPr>
                <w:rFonts w:ascii="Tahoma" w:hAnsi="Tahoma" w:cs="Tahoma"/>
              </w:rPr>
              <w:t>согласие</w:t>
            </w:r>
            <w:bookmarkStart w:id="0" w:name="_GoBack"/>
            <w:bookmarkEnd w:id="0"/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>
              <w:rPr>
                <w:rFonts w:ascii="Tahoma" w:eastAsia="Times New Roman" w:hAnsi="Tahoma" w:cs="Tahoma"/>
                <w:color w:val="0000FF"/>
                <w:u w:val="single"/>
              </w:rPr>
              <w:t xml:space="preserve"> </w:t>
            </w:r>
            <w:r w:rsidRPr="00563DAE">
              <w:rPr>
                <w:rFonts w:ascii="Tahoma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B55B86" w:rsidRPr="00251161" w:rsidRDefault="00B55B86" w:rsidP="00B55B86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B55B86" w:rsidRPr="00251161" w:rsidRDefault="00B55B86" w:rsidP="00B55B86">
            <w:pPr>
              <w:ind w:firstLine="1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B55B86" w:rsidRPr="00251161" w:rsidRDefault="00B55B86" w:rsidP="00B55B86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B55B86" w:rsidRPr="00251161" w:rsidRDefault="00B55B86" w:rsidP="00B55B86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B55B86" w:rsidRPr="00251161" w:rsidRDefault="00B55B86" w:rsidP="00B55B86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Указывать систему налогообложения (с НДС, либо без НДС (УСНО)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B55B86" w:rsidRPr="00251161" w:rsidRDefault="00B55B86" w:rsidP="00B55B86">
            <w:pPr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B55B86" w:rsidRPr="00251161" w:rsidRDefault="00B55B86" w:rsidP="00B55B86">
            <w:pPr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B55B86" w:rsidRPr="00251161" w:rsidRDefault="00B55B86" w:rsidP="00B55B86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B55B86" w:rsidRPr="00251161" w:rsidRDefault="00B55B86" w:rsidP="00B55B86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516"/>
        </w:trPr>
        <w:tc>
          <w:tcPr>
            <w:tcW w:w="6658" w:type="dxa"/>
            <w:shd w:val="clear" w:color="auto" w:fill="auto"/>
          </w:tcPr>
          <w:p w:rsidR="00B55B86" w:rsidRPr="00251161" w:rsidRDefault="00B55B86" w:rsidP="00B55B86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B55B86" w:rsidRPr="00251161" w:rsidRDefault="00B55B86" w:rsidP="00B55B86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B55B86" w:rsidRPr="00251161" w:rsidRDefault="00B55B86" w:rsidP="00B55B86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B55B86" w:rsidRPr="00251161" w:rsidRDefault="00B55B86" w:rsidP="00B55B86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B55B86" w:rsidRPr="00251161" w:rsidRDefault="00373D2B" w:rsidP="00B55B86">
            <w:pPr>
              <w:rPr>
                <w:rFonts w:ascii="Tahoma" w:hAnsi="Tahoma" w:cs="Tahoma"/>
              </w:rPr>
            </w:pPr>
            <w:hyperlink r:id="rId15" w:anchor="edo" w:history="1">
              <w:r w:rsidR="00B55B86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55B86" w:rsidRPr="00251161" w:rsidTr="00162EC9">
        <w:trPr>
          <w:trHeight w:val="447"/>
        </w:trPr>
        <w:tc>
          <w:tcPr>
            <w:tcW w:w="6658" w:type="dxa"/>
            <w:shd w:val="clear" w:color="auto" w:fill="auto"/>
          </w:tcPr>
          <w:p w:rsidR="00B55B86" w:rsidRPr="002D11F4" w:rsidRDefault="00B55B86" w:rsidP="00B55B86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B55B86" w:rsidRPr="002D11F4" w:rsidRDefault="00B55B86" w:rsidP="00B55B8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3253" w:type="dxa"/>
            <w:shd w:val="clear" w:color="auto" w:fill="auto"/>
          </w:tcPr>
          <w:p w:rsidR="00B55B86" w:rsidRPr="00251161" w:rsidRDefault="00B55B86" w:rsidP="00B55B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</w:t>
      </w:r>
      <w:r w:rsidRPr="005B6D17">
        <w:rPr>
          <w:rFonts w:ascii="Tahoma" w:hAnsi="Tahoma" w:cs="Tahoma"/>
        </w:rPr>
        <w:lastRenderedPageBreak/>
        <w:t>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C3D66" w:rsidRPr="00F33B81" w:rsidRDefault="000C3D66" w:rsidP="000C3D66">
      <w:pPr>
        <w:tabs>
          <w:tab w:val="left" w:pos="10206"/>
        </w:tabs>
        <w:jc w:val="both"/>
        <w:rPr>
          <w:rFonts w:ascii="Tahoma" w:hAnsi="Tahoma" w:cs="Tahoma"/>
        </w:rPr>
      </w:pPr>
      <w:r w:rsidRPr="00F33B81">
        <w:rPr>
          <w:rFonts w:ascii="Tahoma" w:hAnsi="Tahoma" w:cs="Tahoma"/>
        </w:rPr>
        <w:t>Приложения:</w:t>
      </w:r>
    </w:p>
    <w:p w:rsidR="000C3D66" w:rsidRPr="00F33B81" w:rsidRDefault="000C3D66" w:rsidP="000C3D66">
      <w:pPr>
        <w:pStyle w:val="ae"/>
        <w:numPr>
          <w:ilvl w:val="0"/>
          <w:numId w:val="33"/>
        </w:numPr>
        <w:tabs>
          <w:tab w:val="left" w:pos="10206"/>
        </w:tabs>
        <w:rPr>
          <w:rFonts w:ascii="Tahoma" w:hAnsi="Tahoma" w:cs="Tahoma"/>
        </w:rPr>
      </w:pPr>
      <w:r w:rsidRPr="00F33B81">
        <w:rPr>
          <w:rFonts w:ascii="Tahoma" w:hAnsi="Tahoma" w:cs="Tahoma"/>
        </w:rPr>
        <w:t>Коммерческое предложение</w:t>
      </w:r>
    </w:p>
    <w:p w:rsidR="000C3D66" w:rsidRPr="00F33B81" w:rsidRDefault="000C3D66" w:rsidP="000C3D66">
      <w:pPr>
        <w:pStyle w:val="ae"/>
        <w:tabs>
          <w:tab w:val="left" w:pos="10206"/>
        </w:tabs>
        <w:rPr>
          <w:rFonts w:ascii="Tahoma" w:hAnsi="Tahoma" w:cs="Tahoma"/>
        </w:rPr>
      </w:pPr>
      <w:r w:rsidRPr="00F33B81">
        <w:rPr>
          <w:rFonts w:ascii="Tahoma" w:hAnsi="Tahoma" w:cs="Tahoma"/>
        </w:rPr>
        <w:t xml:space="preserve">  </w:t>
      </w:r>
    </w:p>
    <w:p w:rsidR="000C3D66" w:rsidRDefault="000C3D66" w:rsidP="000C3D66">
      <w:pPr>
        <w:tabs>
          <w:tab w:val="left" w:pos="10206"/>
        </w:tabs>
        <w:rPr>
          <w:rFonts w:ascii="Tahoma" w:hAnsi="Tahoma" w:cs="Tahoma"/>
        </w:rPr>
      </w:pPr>
    </w:p>
    <w:p w:rsidR="000C3D66" w:rsidRPr="00D96AD1" w:rsidRDefault="000C3D66" w:rsidP="000C3D66">
      <w:pPr>
        <w:tabs>
          <w:tab w:val="left" w:pos="10206"/>
        </w:tabs>
        <w:rPr>
          <w:rFonts w:ascii="Tahoma" w:hAnsi="Tahoma" w:cs="Tahoma"/>
          <w:b/>
        </w:rPr>
      </w:pPr>
      <w:r w:rsidRPr="00D96AD1">
        <w:rPr>
          <w:rFonts w:ascii="Tahoma" w:hAnsi="Tahoma" w:cs="Tahoma"/>
          <w:b/>
        </w:rPr>
        <w:t>Наименование должности (</w:t>
      </w:r>
      <w:proofErr w:type="gramStart"/>
      <w:r w:rsidRPr="00D96AD1">
        <w:rPr>
          <w:rFonts w:ascii="Tahoma" w:hAnsi="Tahoma" w:cs="Tahoma"/>
          <w:b/>
        </w:rPr>
        <w:t xml:space="preserve">Поставщик)   </w:t>
      </w:r>
      <w:proofErr w:type="gramEnd"/>
      <w:r w:rsidRPr="00D96AD1">
        <w:rPr>
          <w:rFonts w:ascii="Tahoma" w:hAnsi="Tahoma" w:cs="Tahoma"/>
          <w:b/>
        </w:rPr>
        <w:t xml:space="preserve">            подпись</w:t>
      </w:r>
      <w:r w:rsidRPr="00D96AD1">
        <w:rPr>
          <w:rFonts w:ascii="Tahoma" w:hAnsi="Tahoma" w:cs="Tahoma"/>
          <w:b/>
          <w:szCs w:val="20"/>
        </w:rPr>
        <w:t xml:space="preserve">                 </w:t>
      </w:r>
      <w:r w:rsidR="00970C32">
        <w:rPr>
          <w:rFonts w:ascii="Tahoma" w:hAnsi="Tahoma" w:cs="Tahoma"/>
          <w:b/>
        </w:rPr>
        <w:t>ФИО</w:t>
      </w:r>
    </w:p>
    <w:p w:rsidR="000C3D66" w:rsidRDefault="000C3D66" w:rsidP="000C3D66">
      <w:pPr>
        <w:pStyle w:val="ae"/>
        <w:tabs>
          <w:tab w:val="left" w:pos="10206"/>
        </w:tabs>
        <w:rPr>
          <w:rFonts w:ascii="Tahoma" w:hAnsi="Tahoma" w:cs="Tahoma"/>
          <w:color w:val="FF0000"/>
        </w:rPr>
      </w:pPr>
    </w:p>
    <w:p w:rsidR="000C3D66" w:rsidRDefault="000C3D66" w:rsidP="000C3D66">
      <w:pPr>
        <w:pStyle w:val="ae"/>
        <w:tabs>
          <w:tab w:val="left" w:pos="10206"/>
        </w:tabs>
        <w:rPr>
          <w:rFonts w:ascii="Tahoma" w:hAnsi="Tahoma" w:cs="Tahoma"/>
          <w:color w:val="FF0000"/>
        </w:rPr>
      </w:pPr>
    </w:p>
    <w:sectPr w:rsidR="000C3D66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158" w:rsidRDefault="00F54158" w:rsidP="00EF71FD">
      <w:pPr>
        <w:spacing w:after="0" w:line="240" w:lineRule="auto"/>
      </w:pPr>
      <w:r>
        <w:separator/>
      </w:r>
    </w:p>
  </w:endnote>
  <w:endnote w:type="continuationSeparator" w:id="0">
    <w:p w:rsidR="00F54158" w:rsidRDefault="00F54158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158" w:rsidRDefault="00F54158" w:rsidP="00EF71FD">
      <w:pPr>
        <w:spacing w:after="0" w:line="240" w:lineRule="auto"/>
      </w:pPr>
      <w:r>
        <w:separator/>
      </w:r>
    </w:p>
  </w:footnote>
  <w:footnote w:type="continuationSeparator" w:id="0">
    <w:p w:rsidR="00F54158" w:rsidRDefault="00F54158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A6B9D"/>
    <w:multiLevelType w:val="hybridMultilevel"/>
    <w:tmpl w:val="F5927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7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2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6"/>
  </w:num>
  <w:num w:numId="10">
    <w:abstractNumId w:val="20"/>
  </w:num>
  <w:num w:numId="11">
    <w:abstractNumId w:val="27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30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2"/>
  </w:num>
  <w:num w:numId="30">
    <w:abstractNumId w:val="8"/>
  </w:num>
  <w:num w:numId="31">
    <w:abstractNumId w:val="31"/>
  </w:num>
  <w:num w:numId="32">
    <w:abstractNumId w:val="2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3D6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62EC9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44BAE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3D2B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47F6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1D28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C27EF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2514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1A41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0C32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9F66D1"/>
    <w:rsid w:val="00A07A50"/>
    <w:rsid w:val="00A1650F"/>
    <w:rsid w:val="00A316F8"/>
    <w:rsid w:val="00A359A0"/>
    <w:rsid w:val="00A437F2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208BA"/>
    <w:rsid w:val="00B217C6"/>
    <w:rsid w:val="00B21B20"/>
    <w:rsid w:val="00B24B6C"/>
    <w:rsid w:val="00B26C4F"/>
    <w:rsid w:val="00B55B86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96AD1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30E9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54158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AF31E7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B1EC-4B1D-44B6-9552-96E2BF80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254</cp:revision>
  <cp:lastPrinted>2017-12-05T13:43:00Z</cp:lastPrinted>
  <dcterms:created xsi:type="dcterms:W3CDTF">2017-02-22T08:31:00Z</dcterms:created>
  <dcterms:modified xsi:type="dcterms:W3CDTF">2025-03-14T13:42:00Z</dcterms:modified>
</cp:coreProperties>
</file>