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8E056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  <w:bookmarkStart w:id="0" w:name="_Toc450918089"/>
      <w:bookmarkStart w:id="1" w:name="_Toc458791446"/>
      <w:r>
        <w:rPr>
          <w:noProof/>
        </w:rPr>
        <w:drawing>
          <wp:anchor distT="0" distB="0" distL="114300" distR="114300" simplePos="0" relativeHeight="251659264" behindDoc="1" locked="0" layoutInCell="1" allowOverlap="1" wp14:anchorId="5BC8B9D6" wp14:editId="3E8E1E2F">
            <wp:simplePos x="0" y="0"/>
            <wp:positionH relativeFrom="column">
              <wp:posOffset>4352834</wp:posOffset>
            </wp:positionH>
            <wp:positionV relativeFrom="paragraph">
              <wp:posOffset>-683441</wp:posOffset>
            </wp:positionV>
            <wp:extent cx="2091055" cy="2069465"/>
            <wp:effectExtent l="0" t="0" r="4445" b="6985"/>
            <wp:wrapNone/>
            <wp:docPr id="1" name="Рисунок 1" descr="C:\MIG\Maket\1 НОВЫЙ\В работе Черно белый\чб вариант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MIG\Maket\1 НОВЫЙ\В работе Черно белый\чб вариан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833030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</w:p>
    <w:p w14:paraId="1BDC7F7A" w14:textId="77777777" w:rsidR="007F444A" w:rsidRDefault="007F444A" w:rsidP="00B10AE3">
      <w:pPr>
        <w:ind w:left="709"/>
        <w:jc w:val="right"/>
        <w:outlineLvl w:val="0"/>
        <w:rPr>
          <w:rFonts w:ascii="Tahoma" w:hAnsi="Tahoma" w:cs="Tahoma"/>
          <w:b/>
        </w:rPr>
      </w:pPr>
    </w:p>
    <w:p w14:paraId="75131D38" w14:textId="77777777" w:rsidR="00B10AE3" w:rsidRPr="00BB0253" w:rsidRDefault="00B10AE3" w:rsidP="00B10AE3">
      <w:pPr>
        <w:ind w:left="709"/>
        <w:jc w:val="right"/>
        <w:outlineLvl w:val="0"/>
        <w:rPr>
          <w:rFonts w:ascii="Tahoma" w:hAnsi="Tahoma" w:cs="Tahoma"/>
          <w:b/>
        </w:rPr>
      </w:pPr>
      <w:bookmarkStart w:id="2" w:name="ПриложениеЖ"/>
      <w:bookmarkEnd w:id="0"/>
      <w:bookmarkEnd w:id="1"/>
      <w:bookmarkEnd w:id="2"/>
    </w:p>
    <w:p w14:paraId="7954EC7E" w14:textId="77777777" w:rsidR="00B10AE3" w:rsidRPr="00BB0253" w:rsidRDefault="00B10AE3" w:rsidP="00B10AE3">
      <w:pPr>
        <w:rPr>
          <w:rFonts w:ascii="Tahoma" w:hAnsi="Tahoma" w:cs="Tahom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262"/>
        <w:gridCol w:w="363"/>
        <w:gridCol w:w="363"/>
        <w:gridCol w:w="1789"/>
      </w:tblGrid>
      <w:tr w:rsidR="0086505F" w:rsidRPr="00BB0253" w14:paraId="24EC2E7F" w14:textId="77777777" w:rsidTr="003A253C">
        <w:trPr>
          <w:trHeight w:val="54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01A76B" w14:textId="170F2D01" w:rsidR="0086505F" w:rsidRPr="00BB0253" w:rsidRDefault="0086505F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08146" w14:textId="0C54AB0D" w:rsidR="0086505F" w:rsidRPr="0086505F" w:rsidRDefault="006509EE" w:rsidP="006713C3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04.06.2025</w:t>
            </w:r>
            <w:bookmarkStart w:id="3" w:name="_GoBack"/>
            <w:bookmarkEnd w:id="3"/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22792C61" w14:textId="77777777" w:rsidR="0086505F" w:rsidRPr="00BB0253" w:rsidRDefault="0086505F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28EC2642" w14:textId="176540F1" w:rsidR="0086505F" w:rsidRPr="00BB0253" w:rsidRDefault="0086505F" w:rsidP="006713C3">
            <w:pPr>
              <w:rPr>
                <w:rFonts w:ascii="Tahoma" w:hAnsi="Tahoma" w:cs="Tahoma"/>
                <w:sz w:val="20"/>
              </w:rPr>
            </w:pPr>
            <w:r w:rsidRPr="00BB0253">
              <w:rPr>
                <w:rFonts w:ascii="Tahoma" w:hAnsi="Tahoma" w:cs="Tahoma"/>
                <w:sz w:val="20"/>
              </w:rPr>
              <w:t>№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8484ED" w14:textId="65BF8899" w:rsidR="0086505F" w:rsidRPr="00BB0253" w:rsidRDefault="006509EE" w:rsidP="006713C3">
            <w:pPr>
              <w:rPr>
                <w:rFonts w:ascii="Tahoma" w:hAnsi="Tahoma" w:cs="Tahoma"/>
                <w:sz w:val="20"/>
              </w:rPr>
            </w:pPr>
            <w:r w:rsidRPr="006509EE">
              <w:rPr>
                <w:rFonts w:ascii="Tahoma" w:hAnsi="Tahoma" w:cs="Tahoma"/>
                <w:sz w:val="20"/>
              </w:rPr>
              <w:t>20046814</w:t>
            </w:r>
            <w:r>
              <w:rPr>
                <w:rFonts w:ascii="Tahoma" w:hAnsi="Tahoma" w:cs="Tahoma"/>
                <w:sz w:val="20"/>
              </w:rPr>
              <w:t>/2</w:t>
            </w:r>
          </w:p>
        </w:tc>
      </w:tr>
      <w:tr w:rsidR="0086505F" w:rsidRPr="00BB0253" w14:paraId="31D2FFA0" w14:textId="77777777" w:rsidTr="003A253C">
        <w:trPr>
          <w:trHeight w:val="44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C09309" w14:textId="77777777" w:rsidR="0086505F" w:rsidRPr="00BB0253" w:rsidRDefault="0086505F" w:rsidP="006713C3">
            <w:pPr>
              <w:ind w:hanging="106"/>
              <w:rPr>
                <w:rFonts w:ascii="Tahoma" w:hAnsi="Tahoma" w:cs="Tahoma"/>
                <w:sz w:val="20"/>
              </w:rPr>
            </w:pPr>
          </w:p>
          <w:p w14:paraId="5DD56C07" w14:textId="77777777" w:rsidR="0086505F" w:rsidRPr="00BB0253" w:rsidRDefault="0086505F" w:rsidP="006713C3">
            <w:pPr>
              <w:ind w:hanging="106"/>
              <w:rPr>
                <w:rFonts w:ascii="Tahoma" w:hAnsi="Tahoma" w:cs="Tahoma"/>
                <w:sz w:val="20"/>
              </w:rPr>
            </w:pPr>
            <w:r w:rsidRPr="00BB0253">
              <w:rPr>
                <w:rFonts w:ascii="Tahoma" w:hAnsi="Tahoma" w:cs="Tahoma"/>
                <w:sz w:val="20"/>
              </w:rPr>
              <w:t>На №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E2561" w14:textId="77777777" w:rsidR="0086505F" w:rsidRPr="00BB0253" w:rsidRDefault="0086505F" w:rsidP="006713C3">
            <w:pPr>
              <w:spacing w:before="200"/>
              <w:rPr>
                <w:rFonts w:ascii="Tahoma" w:hAnsi="Tahoma" w:cs="Tahoma"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31076" w14:textId="77777777" w:rsidR="0086505F" w:rsidRPr="00BB0253" w:rsidRDefault="0086505F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0CD61A" w14:textId="1DA83C03" w:rsidR="0086505F" w:rsidRPr="00BB0253" w:rsidRDefault="0086505F" w:rsidP="006713C3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E7171" w14:textId="77777777" w:rsidR="0086505F" w:rsidRPr="00BB0253" w:rsidRDefault="0086505F" w:rsidP="006713C3">
            <w:pPr>
              <w:spacing w:before="200"/>
              <w:rPr>
                <w:rFonts w:ascii="Tahoma" w:hAnsi="Tahoma" w:cs="Tahoma"/>
                <w:sz w:val="20"/>
              </w:rPr>
            </w:pPr>
          </w:p>
        </w:tc>
      </w:tr>
    </w:tbl>
    <w:p w14:paraId="06A57578" w14:textId="77777777" w:rsidR="00B10AE3" w:rsidRPr="00BB0253" w:rsidRDefault="00B10AE3" w:rsidP="00B10AE3">
      <w:pPr>
        <w:spacing w:after="120"/>
        <w:ind w:left="5103"/>
        <w:jc w:val="left"/>
        <w:rPr>
          <w:rFonts w:ascii="Tahoma" w:hAnsi="Tahoma" w:cs="Tahoma"/>
          <w:sz w:val="20"/>
        </w:rPr>
      </w:pPr>
    </w:p>
    <w:p w14:paraId="149835FE" w14:textId="77777777" w:rsidR="00B10AE3" w:rsidRPr="007F444A" w:rsidRDefault="00B10AE3" w:rsidP="00B10AE3">
      <w:pPr>
        <w:ind w:left="709"/>
        <w:jc w:val="center"/>
        <w:outlineLvl w:val="0"/>
        <w:rPr>
          <w:rFonts w:ascii="Tahoma" w:hAnsi="Tahoma" w:cs="Tahoma"/>
          <w:b/>
          <w:sz w:val="18"/>
          <w:szCs w:val="18"/>
        </w:rPr>
      </w:pPr>
      <w:bookmarkStart w:id="4" w:name="_Toc503366445"/>
      <w:bookmarkStart w:id="5" w:name="_Toc508030096"/>
      <w:bookmarkStart w:id="6" w:name="_Toc450918090"/>
      <w:bookmarkStart w:id="7" w:name="_Toc458791447"/>
      <w:r w:rsidRPr="007F444A">
        <w:rPr>
          <w:rFonts w:ascii="Tahoma" w:hAnsi="Tahoma" w:cs="Tahoma"/>
          <w:b/>
          <w:sz w:val="18"/>
          <w:szCs w:val="18"/>
        </w:rPr>
        <w:t>Приглашение к участию в Закупочной процедуре</w:t>
      </w:r>
      <w:bookmarkEnd w:id="4"/>
      <w:bookmarkEnd w:id="5"/>
    </w:p>
    <w:p w14:paraId="2E5C09FF" w14:textId="77777777" w:rsidR="00B10AE3" w:rsidRPr="007F444A" w:rsidRDefault="00B10AE3" w:rsidP="00B10AE3">
      <w:pPr>
        <w:rPr>
          <w:rFonts w:ascii="Tahoma" w:hAnsi="Tahoma" w:cs="Tahoma"/>
          <w:sz w:val="18"/>
          <w:szCs w:val="18"/>
        </w:rPr>
      </w:pPr>
    </w:p>
    <w:p w14:paraId="1BF8425F" w14:textId="33B910D5" w:rsidR="00B10AE3" w:rsidRPr="007F444A" w:rsidRDefault="004534A4" w:rsidP="00B10AE3">
      <w:pPr>
        <w:jc w:val="left"/>
        <w:rPr>
          <w:rFonts w:ascii="Tahoma" w:hAnsi="Tahoma" w:cs="Tahoma"/>
          <w:sz w:val="18"/>
          <w:szCs w:val="18"/>
        </w:rPr>
      </w:pPr>
      <w:r w:rsidRPr="0015542B">
        <w:rPr>
          <w:rFonts w:ascii="Tahoma" w:hAnsi="Tahoma" w:cs="Tahoma"/>
          <w:sz w:val="18"/>
          <w:szCs w:val="18"/>
        </w:rPr>
        <w:t xml:space="preserve">Мурманский транспортный филиал ПАО «ГМК «Норильский никель» </w:t>
      </w:r>
      <w:r w:rsidR="00B10AE3" w:rsidRPr="007F444A">
        <w:rPr>
          <w:rFonts w:ascii="Tahoma" w:hAnsi="Tahoma" w:cs="Tahoma"/>
          <w:sz w:val="18"/>
          <w:szCs w:val="18"/>
        </w:rPr>
        <w:t>приглашает Вас принять участие в следующей Закупочной процедуре:</w:t>
      </w:r>
    </w:p>
    <w:tbl>
      <w:tblPr>
        <w:tblW w:w="9646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86"/>
        <w:gridCol w:w="4860"/>
      </w:tblGrid>
      <w:tr w:rsidR="00B10AE3" w:rsidRPr="007F444A" w14:paraId="47585347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FBF9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418A" w14:textId="72D1A89B" w:rsidR="00B10AE3" w:rsidRPr="007F444A" w:rsidRDefault="00796DDF" w:rsidP="00796DDF">
            <w:pPr>
              <w:rPr>
                <w:rFonts w:ascii="Tahoma" w:hAnsi="Tahoma" w:cs="Tahoma"/>
                <w:sz w:val="18"/>
                <w:szCs w:val="18"/>
              </w:rPr>
            </w:pPr>
            <w:r w:rsidRPr="00796DDF">
              <w:rPr>
                <w:rFonts w:ascii="Tahoma" w:hAnsi="Tahoma" w:cs="Tahoma"/>
                <w:sz w:val="18"/>
                <w:szCs w:val="18"/>
              </w:rPr>
              <w:t>Дизельное топливо в количестве</w:t>
            </w:r>
            <w:r>
              <w:rPr>
                <w:rFonts w:ascii="Tahoma" w:hAnsi="Tahoma" w:cs="Tahoma"/>
                <w:sz w:val="18"/>
                <w:szCs w:val="18"/>
              </w:rPr>
              <w:t xml:space="preserve"> 91 458,00 литров на 3 кв. 2025</w:t>
            </w:r>
          </w:p>
        </w:tc>
      </w:tr>
      <w:tr w:rsidR="00B10AE3" w:rsidRPr="007F444A" w14:paraId="218383AA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A648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E9AE" w14:textId="0E1366B4" w:rsidR="00B10AE3" w:rsidRPr="00C1565A" w:rsidRDefault="00C1565A" w:rsidP="00705027">
            <w:pPr>
              <w:rPr>
                <w:rFonts w:ascii="Tahoma" w:hAnsi="Tahoma" w:cs="Tahoma"/>
                <w:sz w:val="18"/>
                <w:szCs w:val="18"/>
              </w:rPr>
            </w:pPr>
            <w:r w:rsidRPr="00C1565A">
              <w:rPr>
                <w:rFonts w:ascii="Tahoma" w:hAnsi="Tahoma" w:cs="Tahoma"/>
                <w:sz w:val="18"/>
                <w:szCs w:val="18"/>
              </w:rPr>
              <w:t xml:space="preserve">Согласно ТЗ (Приложение № </w:t>
            </w:r>
            <w:r w:rsidR="00705027">
              <w:rPr>
                <w:rFonts w:ascii="Tahoma" w:hAnsi="Tahoma" w:cs="Tahoma"/>
                <w:sz w:val="18"/>
                <w:szCs w:val="18"/>
              </w:rPr>
              <w:t>3</w:t>
            </w:r>
            <w:r w:rsidRPr="00C1565A">
              <w:rPr>
                <w:rFonts w:ascii="Tahoma" w:hAnsi="Tahoma" w:cs="Tahoma"/>
                <w:sz w:val="18"/>
                <w:szCs w:val="18"/>
              </w:rPr>
              <w:t xml:space="preserve"> к Приглашению к </w:t>
            </w:r>
            <w:r>
              <w:rPr>
                <w:rFonts w:ascii="Tahoma" w:hAnsi="Tahoma" w:cs="Tahoma"/>
                <w:sz w:val="18"/>
                <w:szCs w:val="18"/>
              </w:rPr>
              <w:t>участию в закупочной процедуре).</w:t>
            </w:r>
            <w:r w:rsidR="00760E5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B10AE3" w:rsidRPr="007F444A" w14:paraId="4B5416E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E739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3. Инструмент проведения Закупки (редукцион, запрос цен/предложений).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6713" w14:textId="4693E34F" w:rsidR="00B10AE3" w:rsidRPr="007F444A" w:rsidRDefault="0087635C" w:rsidP="006713C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Запрос цен</w:t>
            </w:r>
          </w:p>
        </w:tc>
      </w:tr>
      <w:tr w:rsidR="00B10AE3" w:rsidRPr="007F444A" w14:paraId="4587BE02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3F76" w14:textId="77777777" w:rsidR="00B10AE3" w:rsidRPr="007F444A" w:rsidRDefault="00B10AE3" w:rsidP="006713C3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4.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A229" w14:textId="77777777" w:rsidR="00426DF4" w:rsidRDefault="00426DF4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426DF4">
              <w:rPr>
                <w:rFonts w:ascii="Tahoma" w:hAnsi="Tahoma" w:cs="Tahoma"/>
                <w:sz w:val="18"/>
                <w:szCs w:val="18"/>
              </w:rPr>
              <w:t xml:space="preserve">Актуальный срок подачи предложений см. в системе SAP SRM. </w:t>
            </w:r>
          </w:p>
          <w:p w14:paraId="488F8901" w14:textId="0B973C8D" w:rsidR="00B10AE3" w:rsidRPr="007F444A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Заявку на участие в закупочной процедуре необходимо направить через систему</w:t>
            </w:r>
            <w:r w:rsidRPr="0015542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1554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SAP</w:t>
            </w:r>
            <w:r w:rsidRPr="0015542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1554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SRM</w:t>
            </w:r>
            <w:r w:rsidRPr="0015542B">
              <w:rPr>
                <w:rFonts w:ascii="Tahoma" w:hAnsi="Tahoma" w:cs="Tahoma"/>
                <w:b/>
                <w:sz w:val="18"/>
                <w:szCs w:val="18"/>
              </w:rPr>
              <w:t>.</w:t>
            </w:r>
          </w:p>
        </w:tc>
      </w:tr>
      <w:tr w:rsidR="0087635C" w:rsidRPr="007F444A" w14:paraId="0122A22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139FB" w14:textId="77777777" w:rsidR="0087635C" w:rsidRPr="007F444A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5. Базис поставки.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A1132" w14:textId="0BB6841A" w:rsidR="0087635C" w:rsidRPr="007F444A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Поставка на заправочную станцию контейнерного типа (КЗС), находящуюся на территории Мурманского транспортного филиала (МТФ) по адресу: г. Мурманск, Портовый проезд 31</w:t>
            </w:r>
          </w:p>
        </w:tc>
      </w:tr>
      <w:tr w:rsidR="0087635C" w:rsidRPr="007F444A" w14:paraId="4D6F1BC6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76BB" w14:textId="77777777" w:rsidR="0087635C" w:rsidRPr="007F444A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6. Форма, условия и сроки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9F22" w14:textId="77777777" w:rsidR="0087635C" w:rsidRPr="006505EA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  <w:r w:rsidRPr="006505EA">
              <w:rPr>
                <w:rFonts w:ascii="Tahoma" w:hAnsi="Tahoma" w:cs="Tahoma"/>
                <w:sz w:val="18"/>
                <w:szCs w:val="18"/>
              </w:rPr>
              <w:t xml:space="preserve">1. Безналичный расчет. </w:t>
            </w:r>
          </w:p>
          <w:p w14:paraId="028B8700" w14:textId="77777777" w:rsidR="0087635C" w:rsidRPr="000F125C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  <w:r w:rsidRPr="006505EA">
              <w:rPr>
                <w:rFonts w:ascii="Tahoma" w:hAnsi="Tahoma" w:cs="Tahoma"/>
                <w:sz w:val="18"/>
                <w:szCs w:val="18"/>
              </w:rPr>
              <w:t>2.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F125C">
              <w:rPr>
                <w:rFonts w:ascii="Tahoma" w:hAnsi="Tahoma" w:cs="Tahoma"/>
                <w:sz w:val="18"/>
                <w:szCs w:val="18"/>
              </w:rPr>
              <w:t>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документов, являющихся основанием для платежа (счет на аванс и независимая гарантия (в случае ее оформления)).</w:t>
            </w:r>
          </w:p>
          <w:p w14:paraId="3DC6CA34" w14:textId="77777777" w:rsidR="0087635C" w:rsidRPr="000F125C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0F125C">
              <w:rPr>
                <w:rFonts w:ascii="Tahoma" w:hAnsi="Tahoma" w:cs="Tahoma"/>
                <w:sz w:val="18"/>
                <w:szCs w:val="18"/>
              </w:rPr>
              <w:t xml:space="preserve">Авансовый платеж может быть произведен: </w:t>
            </w:r>
          </w:p>
          <w:p w14:paraId="0E47FBC2" w14:textId="77777777" w:rsidR="0087635C" w:rsidRPr="000F125C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F54AD5">
              <w:rPr>
                <w:rFonts w:ascii="Tahoma" w:hAnsi="Tahoma" w:cs="Tahoma"/>
                <w:sz w:val="18"/>
                <w:szCs w:val="18"/>
              </w:rPr>
              <w:t xml:space="preserve">- на сумму не более 9 999 999 руб. в том числе НДС либо в иной валюте по курсу ЦБ РФ </w:t>
            </w:r>
            <w:r w:rsidRPr="000F125C">
              <w:rPr>
                <w:rFonts w:ascii="Tahoma" w:hAnsi="Tahoma" w:cs="Tahoma"/>
                <w:sz w:val="18"/>
                <w:szCs w:val="18"/>
              </w:rPr>
              <w:t xml:space="preserve">на дату оплаты. </w:t>
            </w:r>
          </w:p>
          <w:p w14:paraId="7A91FF84" w14:textId="77777777" w:rsidR="0087635C" w:rsidRPr="000F125C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0F125C">
              <w:rPr>
                <w:rFonts w:ascii="Tahoma" w:hAnsi="Tahoma" w:cs="Tahoma"/>
                <w:sz w:val="18"/>
                <w:szCs w:val="18"/>
              </w:rPr>
              <w:t xml:space="preserve">Поставщиком может быть предоставлена независимая гарантия возврата авансового платежа. </w:t>
            </w:r>
          </w:p>
          <w:p w14:paraId="4E045414" w14:textId="77777777" w:rsidR="0087635C" w:rsidRPr="000F125C" w:rsidRDefault="0087635C" w:rsidP="0087635C">
            <w:pPr>
              <w:rPr>
                <w:i/>
                <w:iCs/>
                <w:color w:val="FF0000"/>
                <w:sz w:val="20"/>
              </w:rPr>
            </w:pPr>
            <w:r w:rsidRPr="000F125C">
              <w:rPr>
                <w:rFonts w:ascii="Tahoma" w:hAnsi="Tahoma" w:cs="Tahoma"/>
                <w:i/>
                <w:sz w:val="18"/>
                <w:szCs w:val="18"/>
              </w:rPr>
              <w:t>Примечание: при прочих равных условиях приоритет может быть отдан участнику закупочной процедуры, не использующему</w:t>
            </w:r>
            <w:r w:rsidRPr="000F125C">
              <w:rPr>
                <w:i/>
                <w:iCs/>
                <w:color w:val="FF0000"/>
                <w:sz w:val="20"/>
              </w:rPr>
              <w:t xml:space="preserve"> </w:t>
            </w:r>
            <w:r w:rsidRPr="000F125C">
              <w:rPr>
                <w:rFonts w:ascii="Tahoma" w:hAnsi="Tahoma" w:cs="Tahoma"/>
                <w:i/>
                <w:sz w:val="18"/>
                <w:szCs w:val="18"/>
              </w:rPr>
              <w:t>авансовую форму расчетов либо предоставившему независимую гарантию обеспечения возврата авансового платежа.</w:t>
            </w:r>
          </w:p>
          <w:p w14:paraId="171A571D" w14:textId="77777777" w:rsidR="0087635C" w:rsidRPr="00F54AD5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F54AD5">
              <w:rPr>
                <w:rFonts w:ascii="Tahoma" w:hAnsi="Tahoma" w:cs="Tahoma"/>
                <w:sz w:val="18"/>
                <w:szCs w:val="18"/>
              </w:rPr>
              <w:t>- на сумму 10 000 000 руб. и более, в т. ч. НДС либо в иной валюте по курсу ЦБ РФ на дату оплаты. На сумму авансового платежа должна быть оформлена независимая гарантия его возврата.</w:t>
            </w:r>
          </w:p>
          <w:p w14:paraId="688CB0D3" w14:textId="77777777" w:rsidR="0087635C" w:rsidRPr="00F54AD5" w:rsidRDefault="0087635C" w:rsidP="0087635C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F54AD5">
              <w:rPr>
                <w:rFonts w:ascii="Tahoma" w:hAnsi="Tahoma" w:cs="Tahoma"/>
                <w:i/>
                <w:sz w:val="18"/>
                <w:szCs w:val="18"/>
              </w:rPr>
              <w:t>Примечание: при прочих равных условиях приоритет может быть отдан участнику закупочной процедуры, не использующему авансовую форму расчетов.</w:t>
            </w:r>
          </w:p>
          <w:p w14:paraId="78687ED1" w14:textId="78DF48B9" w:rsidR="0087635C" w:rsidRPr="00F54AD5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F54AD5">
              <w:rPr>
                <w:rFonts w:ascii="Tahoma" w:hAnsi="Tahoma" w:cs="Tahoma"/>
                <w:sz w:val="18"/>
                <w:szCs w:val="18"/>
              </w:rPr>
              <w:t xml:space="preserve">.3 Оплата осуществляется в первую рабочую пятницу после истечения </w:t>
            </w:r>
            <w:r w:rsidRPr="00BB44A2">
              <w:rPr>
                <w:rFonts w:ascii="Tahoma" w:hAnsi="Tahoma" w:cs="Tahoma"/>
                <w:sz w:val="18"/>
                <w:szCs w:val="18"/>
              </w:rPr>
              <w:t>60 (</w:t>
            </w:r>
            <w:r>
              <w:rPr>
                <w:rFonts w:ascii="Tahoma" w:hAnsi="Tahoma" w:cs="Tahoma"/>
                <w:sz w:val="18"/>
                <w:szCs w:val="18"/>
              </w:rPr>
              <w:t xml:space="preserve">в случае поставки товаров) </w:t>
            </w:r>
            <w:r w:rsidRPr="00F54AD5">
              <w:rPr>
                <w:rFonts w:ascii="Tahoma" w:hAnsi="Tahoma" w:cs="Tahoma"/>
                <w:sz w:val="18"/>
                <w:szCs w:val="18"/>
              </w:rPr>
              <w:t xml:space="preserve"> календарных дней с даты поступления от контрагента в Компанию оригиналов первичных учетных документов, подтверждающих исполнение </w:t>
            </w:r>
            <w:r w:rsidRPr="00F54AD5">
              <w:rPr>
                <w:rFonts w:ascii="Tahoma" w:hAnsi="Tahoma" w:cs="Tahoma"/>
                <w:sz w:val="18"/>
                <w:szCs w:val="18"/>
              </w:rPr>
              <w:lastRenderedPageBreak/>
              <w:t>контрагентом обязательств по договору, счета на оплату и счета-фактуры (в случае 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оформления.</w:t>
            </w:r>
          </w:p>
          <w:p w14:paraId="5BD614E8" w14:textId="77777777" w:rsidR="0087635C" w:rsidRPr="008E2EFF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EECE139" w14:textId="77777777" w:rsidR="0087635C" w:rsidRPr="008E2EFF" w:rsidRDefault="0087635C" w:rsidP="0087635C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8E2EFF">
              <w:rPr>
                <w:rFonts w:ascii="Tahoma" w:hAnsi="Tahoma" w:cs="Tahoma"/>
                <w:i/>
                <w:sz w:val="18"/>
                <w:szCs w:val="18"/>
              </w:rPr>
              <w:t>Примечание: аванс должен быть использован для оплаты авансов субподрядчикам/соисполнителям /поставщикам и иных расходов, прямо связанных с исполнением сделки. В заявке на участие к закупочной процедуре необходимо указать конкретный перечень расходов, на который поставщик потратит аванс. Данные цели будут включены в условиях договора.</w:t>
            </w:r>
          </w:p>
          <w:p w14:paraId="2089127D" w14:textId="77777777" w:rsidR="0087635C" w:rsidRPr="008E2EFF" w:rsidRDefault="0087635C" w:rsidP="0087635C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8E2EFF">
              <w:rPr>
                <w:rFonts w:ascii="Tahoma" w:hAnsi="Tahoma" w:cs="Tahoma"/>
                <w:i/>
                <w:sz w:val="18"/>
                <w:szCs w:val="18"/>
              </w:rPr>
              <w:t>Примечание: с условиями оформления независимых гарантий обеспечения исполнения обязательств по договорам, в том числе возврата авансового платежа, можно ознакомиться на сайте ПАО «ГМК «Норильский никель» по следующему адресу:</w:t>
            </w:r>
          </w:p>
          <w:p w14:paraId="45970387" w14:textId="77777777" w:rsidR="0087635C" w:rsidRPr="007F444A" w:rsidRDefault="006509EE" w:rsidP="0087635C">
            <w:pPr>
              <w:rPr>
                <w:rFonts w:ascii="Tahoma" w:hAnsi="Tahoma" w:cs="Tahoma"/>
                <w:sz w:val="18"/>
                <w:szCs w:val="18"/>
              </w:rPr>
            </w:pPr>
            <w:hyperlink r:id="rId8" w:history="1">
              <w:r w:rsidR="0087635C" w:rsidRPr="008E2EFF">
                <w:rPr>
                  <w:rFonts w:ascii="Tahoma" w:hAnsi="Tahoma" w:cs="Tahoma"/>
                  <w:i/>
                  <w:sz w:val="18"/>
                  <w:szCs w:val="18"/>
                </w:rPr>
                <w:t>https://www.nornickel.ru/suppliers/contractual-documentation/</w:t>
              </w:r>
            </w:hyperlink>
            <w:r w:rsidR="0087635C" w:rsidRPr="008E2EFF">
              <w:rPr>
                <w:rFonts w:ascii="Tahoma" w:hAnsi="Tahoma" w:cs="Tahoma"/>
                <w:i/>
                <w:sz w:val="18"/>
                <w:szCs w:val="18"/>
              </w:rPr>
              <w:t xml:space="preserve"> (Приложение 2 о гарантиях)</w:t>
            </w:r>
          </w:p>
        </w:tc>
      </w:tr>
      <w:tr w:rsidR="0087635C" w:rsidRPr="007F444A" w14:paraId="31D04B6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4A94" w14:textId="77777777" w:rsidR="0087635C" w:rsidRPr="007F444A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lastRenderedPageBreak/>
              <w:t>7. График / Срок поставки / выполнения работ / оказания услуг.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EECD4" w14:textId="2A955DEE" w:rsidR="0087635C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В течение </w:t>
            </w:r>
            <w:r w:rsidR="000B68B0">
              <w:rPr>
                <w:rFonts w:ascii="Tahoma" w:hAnsi="Tahoma" w:cs="Tahoma"/>
                <w:sz w:val="18"/>
                <w:szCs w:val="18"/>
              </w:rPr>
              <w:t>2</w:t>
            </w:r>
            <w:r w:rsidRPr="0015542B">
              <w:rPr>
                <w:rFonts w:ascii="Tahoma" w:hAnsi="Tahoma" w:cs="Tahoma"/>
                <w:sz w:val="18"/>
                <w:szCs w:val="18"/>
              </w:rPr>
              <w:t xml:space="preserve"> квартала 202</w:t>
            </w:r>
            <w:r w:rsidR="007A4B23">
              <w:rPr>
                <w:rFonts w:ascii="Tahoma" w:hAnsi="Tahoma" w:cs="Tahoma"/>
                <w:sz w:val="18"/>
                <w:szCs w:val="18"/>
              </w:rPr>
              <w:t>5</w:t>
            </w:r>
            <w:r w:rsidRPr="0015542B">
              <w:rPr>
                <w:rFonts w:ascii="Tahoma" w:hAnsi="Tahoma" w:cs="Tahoma"/>
                <w:sz w:val="18"/>
                <w:szCs w:val="18"/>
              </w:rPr>
              <w:t xml:space="preserve"> года. Объем одной партии составляет от </w:t>
            </w:r>
            <w:r w:rsidR="000B68B0">
              <w:rPr>
                <w:rFonts w:ascii="Tahoma" w:hAnsi="Tahoma" w:cs="Tahoma"/>
                <w:sz w:val="18"/>
                <w:szCs w:val="18"/>
              </w:rPr>
              <w:t>4 0</w:t>
            </w:r>
            <w:r w:rsidRPr="0015542B">
              <w:rPr>
                <w:rFonts w:ascii="Tahoma" w:hAnsi="Tahoma" w:cs="Tahoma"/>
                <w:sz w:val="18"/>
                <w:szCs w:val="18"/>
              </w:rPr>
              <w:t xml:space="preserve">00 до </w:t>
            </w:r>
            <w:r w:rsidR="000B68B0">
              <w:rPr>
                <w:rFonts w:ascii="Tahoma" w:hAnsi="Tahoma" w:cs="Tahoma"/>
                <w:sz w:val="18"/>
                <w:szCs w:val="18"/>
              </w:rPr>
              <w:t>8 0</w:t>
            </w:r>
            <w:r w:rsidRPr="0015542B">
              <w:rPr>
                <w:rFonts w:ascii="Tahoma" w:hAnsi="Tahoma" w:cs="Tahoma"/>
                <w:sz w:val="18"/>
                <w:szCs w:val="18"/>
              </w:rPr>
              <w:t>00 литров. Срок поставки: в течение суток, следующих за днем получения обращения от Заказчика по электронной почте.</w:t>
            </w:r>
          </w:p>
          <w:p w14:paraId="5B2135CE" w14:textId="77777777" w:rsidR="0087635C" w:rsidRPr="0087635C" w:rsidRDefault="0087635C" w:rsidP="0087635C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635C" w:rsidRPr="007F444A" w14:paraId="1552901C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2FE0" w14:textId="77777777" w:rsidR="0087635C" w:rsidRPr="007F444A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8. Особые условия приемки, требования к упаковке и транспортировке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9F821" w14:textId="77777777" w:rsidR="006D5589" w:rsidRPr="0015542B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Приемка дизельного топлива производится в калиброванную емкость. Качество и количество принятого топлива определяется при помощи поверенного метрштока, ареометра и термометра (стандарт ГОСТ 8.247-2004).</w:t>
            </w:r>
          </w:p>
          <w:p w14:paraId="5EF0DDFB" w14:textId="77777777" w:rsidR="006D5589" w:rsidRPr="0015542B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Отбор проб поставленного топлива для последующего анализа, осуществляется представителем Покупателя в цистерне топливозаправщика до слива топлива в КЗС, в присутствии водителя автотранспорта на территории МТФ.</w:t>
            </w:r>
          </w:p>
          <w:p w14:paraId="5980D7C6" w14:textId="77777777" w:rsidR="006D5589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Особенности автотранспорта для перевозки опасных наливных грузов: цистерна топливозаправщика должна быть герметична и исключать любого рода утечки и воспламенения. Топливозаправщик должен быть оборудован насосами, композитными шлангами, фитингами для соединения рукавов, тормозной системой, повышенной надежности, а также необходимыми внешними маркировками.</w:t>
            </w:r>
          </w:p>
          <w:p w14:paraId="193B5C59" w14:textId="3EE2AEDB" w:rsidR="0087635C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Водитель должен иметь при себе Свидетельство ДОПОГ. Наличие плана ЛАРН.-96 «Маркировка грузов».</w:t>
            </w:r>
          </w:p>
        </w:tc>
      </w:tr>
      <w:tr w:rsidR="0087635C" w:rsidRPr="007F444A" w14:paraId="001237D1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4A7B" w14:textId="77777777" w:rsidR="0087635C" w:rsidRPr="007F444A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9. 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FBE6" w14:textId="7AE30754" w:rsidR="0087635C" w:rsidRPr="006D5589" w:rsidRDefault="002020BF" w:rsidP="002020BF">
            <w:pPr>
              <w:rPr>
                <w:rFonts w:ascii="Tahoma" w:hAnsi="Tahoma" w:cs="Tahoma"/>
                <w:sz w:val="18"/>
                <w:szCs w:val="18"/>
              </w:rPr>
            </w:pPr>
            <w:r w:rsidRPr="002020BF">
              <w:rPr>
                <w:rFonts w:ascii="Tahoma" w:hAnsi="Tahoma" w:cs="Tahoma"/>
                <w:sz w:val="18"/>
                <w:szCs w:val="18"/>
              </w:rPr>
              <w:t>Виды топлива должны отвечать требованиям государственных стандартов, техническим требованиям, санитарным нормам и правилам. Гарантия качества на топливо должна быть безусловной и отвечать требованиям действующих ГОСТов, приведенных в Таблице № 1 для каждого вида топлива, а также соответствовать требованиям санитарных правил и норм СанПиН ГН 2.2.5.1313-03, ГН 2.1.6.1338-03</w:t>
            </w:r>
          </w:p>
        </w:tc>
      </w:tr>
      <w:tr w:rsidR="0087635C" w:rsidRPr="007F444A" w14:paraId="2A973D50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1036" w14:textId="77777777" w:rsidR="0087635C" w:rsidRPr="007F444A" w:rsidRDefault="0087635C" w:rsidP="0087635C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10.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5AFCD" w14:textId="77777777" w:rsidR="006D5589" w:rsidRPr="0015542B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Соответствие экологическому классу (К5) по ГОСТ 32511-2013</w:t>
            </w:r>
          </w:p>
          <w:p w14:paraId="0F1EC5CF" w14:textId="7C661F17" w:rsidR="006D5589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0A4ED0">
              <w:rPr>
                <w:rFonts w:ascii="Tahoma" w:hAnsi="Tahoma" w:cs="Tahoma"/>
                <w:sz w:val="18"/>
                <w:szCs w:val="18"/>
              </w:rPr>
              <w:t xml:space="preserve">Водитель должен ответственно относится к процессу слива ГСМ и не допускать проливов, в том числе малых. При обнаружении течей/подтекания мест соединений сливных устройств/рукавов, </w:t>
            </w:r>
            <w:r w:rsidRPr="000A4ED0">
              <w:rPr>
                <w:rFonts w:ascii="Tahoma" w:hAnsi="Tahoma" w:cs="Tahoma"/>
                <w:sz w:val="18"/>
                <w:szCs w:val="18"/>
              </w:rPr>
              <w:lastRenderedPageBreak/>
              <w:t>приостанавливает выдачу ГСМ до устранения таковых, не допуская попадания ГСМ в почву и на поверхности площадки КАЗС.</w:t>
            </w:r>
          </w:p>
          <w:p w14:paraId="686DA23B" w14:textId="77777777" w:rsidR="0087635C" w:rsidRPr="006D5589" w:rsidRDefault="0087635C" w:rsidP="006D558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5589" w:rsidRPr="007F444A" w14:paraId="12182287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F8DD" w14:textId="77777777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lastRenderedPageBreak/>
              <w:t>11. 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DEBF" w14:textId="159F29F8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6D5589" w:rsidRPr="007F444A" w14:paraId="0EF6F0A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400D" w14:textId="77777777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12. 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169A" w14:textId="1619D694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6D5589" w:rsidRPr="007F444A" w14:paraId="500E4400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2749" w14:textId="77777777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 xml:space="preserve">13. Требование о представлении документов, подтверждающих правоспособность, благонадежность, платежеспособность и финансовую устойчивость Поставщика в соответствии с требованиями Положения о договорной работе.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F596" w14:textId="77777777" w:rsidR="006D5589" w:rsidRPr="000B052E" w:rsidRDefault="006D5589" w:rsidP="006D558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B052E">
              <w:rPr>
                <w:rFonts w:ascii="Tahoma" w:hAnsi="Tahoma" w:cs="Tahoma"/>
                <w:b/>
                <w:sz w:val="18"/>
                <w:szCs w:val="18"/>
              </w:rPr>
              <w:t>Для юридических лиц:</w:t>
            </w:r>
          </w:p>
          <w:p w14:paraId="22403BB5" w14:textId="59C3A524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0B052E">
              <w:rPr>
                <w:rFonts w:ascii="Tahoma" w:hAnsi="Tahoma" w:cs="Tahoma"/>
                <w:sz w:val="18"/>
                <w:szCs w:val="18"/>
              </w:rPr>
              <w:t>выписка из Единого государственного реестра юридических лиц, выданная не ранее чем за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один месяц до дня предъявления</w:t>
            </w:r>
            <w:r w:rsidRPr="000B052E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153F5BC8" w14:textId="77777777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учредительные документы со всеми изменениями;</w:t>
            </w:r>
          </w:p>
          <w:p w14:paraId="3AB0D702" w14:textId="77777777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решение либо выписку из решения органа управления контрагента, к компетенции которого уставом отнесен вопрос об избрании (назначении) единоличного исполнительного органа; </w:t>
            </w:r>
          </w:p>
          <w:p w14:paraId="2D3528EA" w14:textId="77777777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документы, подтверждающие согласие на совершение сделки / одобрение сделки органами управления контрагента в случаях, предусмотренных действующим законодательством или учредительными документами контрагента;</w:t>
            </w:r>
          </w:p>
          <w:p w14:paraId="6B6F73E5" w14:textId="2E550651" w:rsidR="006D5589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бухгалтерский баланс и отчет о финансовых результатах с приложениями за последний завершенный финансовый год (в случае предоставления в виде сканированного образа – вместе с копиями протокола входного контроля и кви</w:t>
            </w:r>
            <w:r>
              <w:rPr>
                <w:rFonts w:ascii="Tahoma" w:hAnsi="Tahoma" w:cs="Tahoma"/>
                <w:sz w:val="18"/>
                <w:szCs w:val="18"/>
              </w:rPr>
              <w:t xml:space="preserve">танции о приеме отчетности)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(в случае заключения договора с финансовой организацией предоставляются сведения о сетевом ресурсе, на котором размещена отчетность организации); </w:t>
            </w:r>
          </w:p>
          <w:p w14:paraId="2DBDFEB2" w14:textId="77777777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для контрагентов, применяющих упрощенную систему налогообложения –  уведомление налогового органа о переходе налогоплательщика на упрощенную систему налогообложения;</w:t>
            </w:r>
          </w:p>
          <w:p w14:paraId="6CE0B8B8" w14:textId="77777777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организациями);</w:t>
            </w:r>
          </w:p>
          <w:p w14:paraId="041B64AE" w14:textId="77777777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для контрагентов, полномочия единоличного исполнительного органа которого переданы управляющей компании, – договор с управляющей компанией и документа об избрании (назначении) единоличного исполнительного органа компании;</w:t>
            </w:r>
          </w:p>
          <w:p w14:paraId="29F2282D" w14:textId="77777777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 об избрании членов органов управления контрагента;</w:t>
            </w:r>
          </w:p>
          <w:p w14:paraId="49FC0C55" w14:textId="77777777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доверенность на заключение договора – в случае, если договор подписывается не исполнительным </w:t>
            </w:r>
            <w:r w:rsidRPr="000B052E">
              <w:rPr>
                <w:rFonts w:ascii="Tahoma" w:hAnsi="Tahoma" w:cs="Tahoma"/>
                <w:sz w:val="18"/>
                <w:szCs w:val="18"/>
              </w:rPr>
              <w:lastRenderedPageBreak/>
              <w:t>органом контрагента / акт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образованиями);</w:t>
            </w:r>
          </w:p>
          <w:p w14:paraId="6571E561" w14:textId="77777777" w:rsidR="006D5589" w:rsidRPr="000B052E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лицензии, патенты, допуски и т. п. – при заключении договоров на выполнение работ, оказание услуг и т. п., требующих в соответствии с действующим законодательством наличия соответствующего разрешения или уведомления;</w:t>
            </w:r>
          </w:p>
          <w:p w14:paraId="5D79A589" w14:textId="77777777" w:rsidR="006D5589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 п.);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ED056CF" w14:textId="75361A9A" w:rsidR="006D5589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392D4A">
              <w:rPr>
                <w:rFonts w:ascii="Tahoma" w:hAnsi="Tahoma" w:cs="Tahoma"/>
                <w:sz w:val="18"/>
                <w:szCs w:val="18"/>
              </w:rPr>
              <w:t>информаци</w:t>
            </w:r>
            <w:r>
              <w:rPr>
                <w:rFonts w:ascii="Tahoma" w:hAnsi="Tahoma" w:cs="Tahoma"/>
                <w:sz w:val="18"/>
                <w:szCs w:val="18"/>
              </w:rPr>
              <w:t>я</w:t>
            </w:r>
            <w:r w:rsidRPr="00392D4A">
              <w:rPr>
                <w:rFonts w:ascii="Tahoma" w:hAnsi="Tahoma" w:cs="Tahoma"/>
                <w:sz w:val="18"/>
                <w:szCs w:val="18"/>
              </w:rPr>
              <w:t xml:space="preserve"> о бенефициарных владельцах (кроме контрагентов, которые в соответствии с законом не обязаны располагать такой информацией, и юридических лиц, информация о бенефициарных владельцах которых может быть установлена на основании сведений Единого государственного реестра юридических лиц)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399EF51A" w14:textId="76BB5024" w:rsidR="006D5589" w:rsidRDefault="006D5589" w:rsidP="006D558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92D4A">
              <w:rPr>
                <w:rFonts w:ascii="Tahoma" w:hAnsi="Tahoma" w:cs="Tahoma"/>
                <w:b/>
                <w:sz w:val="18"/>
                <w:szCs w:val="18"/>
              </w:rPr>
              <w:t>Для индивидуальных предпринимателей:</w:t>
            </w:r>
          </w:p>
          <w:p w14:paraId="5C9BB749" w14:textId="712C71DE" w:rsidR="006D5589" w:rsidRPr="00E62225" w:rsidRDefault="006D5589" w:rsidP="006D5589">
            <w:pPr>
              <w:numPr>
                <w:ilvl w:val="0"/>
                <w:numId w:val="2"/>
              </w:numPr>
              <w:tabs>
                <w:tab w:val="left" w:pos="709"/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предъявления; </w:t>
            </w:r>
          </w:p>
          <w:p w14:paraId="5CD34894" w14:textId="77777777" w:rsidR="006D5589" w:rsidRPr="00E62225" w:rsidRDefault="006D5589" w:rsidP="006D5589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реквизиты основного документа, удостоверяющего личность физического лица на территории Российской Федерации;</w:t>
            </w:r>
          </w:p>
          <w:p w14:paraId="30944689" w14:textId="4EBEBDD7" w:rsidR="006D5589" w:rsidRDefault="006D5589" w:rsidP="006D5589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налогообложения;</w:t>
            </w:r>
          </w:p>
          <w:p w14:paraId="0685B6AD" w14:textId="603566B2" w:rsidR="006D5589" w:rsidRPr="00A17467" w:rsidRDefault="006D5589" w:rsidP="006D5589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A17467">
              <w:rPr>
                <w:rFonts w:ascii="Tahoma" w:hAnsi="Tahoma" w:cs="Tahoma"/>
                <w:sz w:val="18"/>
                <w:szCs w:val="18"/>
              </w:rPr>
              <w:t>налоговая отчетность, содержащая информацию о сумме полученных доходов, за последний отчетный период (если такая отчетность составляется в соответствии с применяемой системой налогообложения)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4362B768" w14:textId="1B2EC6D7" w:rsidR="006D5589" w:rsidRPr="00E62225" w:rsidRDefault="006D5589" w:rsidP="006D5589">
            <w:pPr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декларация конфликта интересов по форме, установленной нормативно-методическими документами Компании</w:t>
            </w:r>
            <w:r w:rsidRPr="00E6222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E62225">
              <w:rPr>
                <w:rFonts w:ascii="Tahoma" w:hAnsi="Tahoma" w:cs="Tahoma"/>
                <w:sz w:val="18"/>
                <w:szCs w:val="18"/>
              </w:rPr>
              <w:t>в области предупреждения и урегулирования конфликта интересов</w:t>
            </w:r>
            <w:r>
              <w:rPr>
                <w:rFonts w:ascii="Tahoma" w:hAnsi="Tahoma" w:cs="Tahoma"/>
                <w:sz w:val="18"/>
                <w:szCs w:val="18"/>
              </w:rPr>
              <w:t xml:space="preserve"> (предоставляется по форме ПАО «ГМК «Норильский никель», прилагаемой к настоящему приглашению)</w:t>
            </w:r>
            <w:r w:rsidRPr="00E62225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3D22EF1E" w14:textId="77777777" w:rsidR="006D5589" w:rsidRPr="00E62225" w:rsidRDefault="006D5589" w:rsidP="006D5589">
            <w:pPr>
              <w:pStyle w:val="ae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доверенность на заключение договора – в случае, если договор подписывается не индивидуальным предпринимателем;</w:t>
            </w:r>
          </w:p>
          <w:p w14:paraId="003C1FAE" w14:textId="77777777" w:rsidR="006D5589" w:rsidRPr="00E62225" w:rsidRDefault="006D5589" w:rsidP="006D5589">
            <w:pPr>
              <w:pStyle w:val="ae"/>
              <w:numPr>
                <w:ilvl w:val="0"/>
                <w:numId w:val="2"/>
              </w:numPr>
              <w:tabs>
                <w:tab w:val="left" w:pos="993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уведомления;</w:t>
            </w:r>
          </w:p>
          <w:p w14:paraId="1D97F828" w14:textId="5EA84882" w:rsidR="006D5589" w:rsidRDefault="006D5589" w:rsidP="006D5589">
            <w:pPr>
              <w:pStyle w:val="ae"/>
              <w:numPr>
                <w:ilvl w:val="0"/>
                <w:numId w:val="2"/>
              </w:numPr>
              <w:tabs>
                <w:tab w:val="left" w:pos="993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78F28ED2" w14:textId="7FCACAE1" w:rsidR="006D5589" w:rsidRDefault="006D5589" w:rsidP="006D5589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sz w:val="18"/>
                <w:szCs w:val="18"/>
              </w:rPr>
            </w:pPr>
          </w:p>
          <w:p w14:paraId="21D6087C" w14:textId="3F413F10" w:rsidR="006D5589" w:rsidRDefault="006D5589" w:rsidP="006D5589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Для все</w:t>
            </w:r>
            <w:r w:rsidR="000B68B0">
              <w:rPr>
                <w:rFonts w:ascii="Tahoma" w:hAnsi="Tahoma" w:cs="Tahoma"/>
                <w:b/>
                <w:sz w:val="18"/>
                <w:szCs w:val="18"/>
              </w:rPr>
              <w:t>х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участников:</w:t>
            </w:r>
          </w:p>
          <w:p w14:paraId="222DBF3D" w14:textId="1D6C6876" w:rsidR="006D5589" w:rsidRPr="00CF5B96" w:rsidRDefault="006D5589" w:rsidP="006D5589">
            <w:pPr>
              <w:tabs>
                <w:tab w:val="left" w:pos="993"/>
                <w:tab w:val="left" w:pos="1134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E4708F">
              <w:rPr>
                <w:rFonts w:ascii="Tahoma" w:hAnsi="Tahoma" w:cs="Tahoma"/>
                <w:sz w:val="18"/>
                <w:szCs w:val="18"/>
              </w:rPr>
              <w:t xml:space="preserve">Подтверждение того, что предоставляемые в ходе проведения закупочной процедуры сведения или </w:t>
            </w:r>
            <w:r w:rsidRPr="00E4708F">
              <w:rPr>
                <w:rFonts w:ascii="Tahoma" w:hAnsi="Tahoma" w:cs="Tahoma"/>
                <w:sz w:val="18"/>
                <w:szCs w:val="18"/>
              </w:rPr>
              <w:lastRenderedPageBreak/>
              <w:t>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      </w:r>
          </w:p>
        </w:tc>
      </w:tr>
      <w:tr w:rsidR="006D5589" w:rsidRPr="007F444A" w14:paraId="18DFE222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A0B8" w14:textId="77777777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lastRenderedPageBreak/>
              <w:t>14. Требование о представлении документов, подтверждающих наличие деловых отношений между Поставщиком и производителем Продукции.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A22F" w14:textId="3D128C50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6D5589" w:rsidRPr="007F444A" w14:paraId="65A7095E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EBF8" w14:textId="77777777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15.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83C8" w14:textId="5BF309D5" w:rsidR="006D5589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Применимое право – РФ. Подсудность – арбитражный суд Мурманской области.</w:t>
            </w:r>
          </w:p>
          <w:p w14:paraId="6626BA25" w14:textId="77777777" w:rsidR="006D5589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Условия договора – в соответствии с типовой формой договора, прилагаемой к настоящему приглашению.</w:t>
            </w:r>
          </w:p>
          <w:p w14:paraId="6EF26F5C" w14:textId="76BFCD84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5589" w:rsidRPr="007F444A" w14:paraId="059E1A66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392F" w14:textId="15F3EF6D" w:rsidR="006D5589" w:rsidRPr="007F444A" w:rsidRDefault="006D5589" w:rsidP="00F15387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16. Требования к предоставлению отчетности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9857" w14:textId="69D36831" w:rsidR="006D5589" w:rsidRPr="007F444A" w:rsidRDefault="00F15387" w:rsidP="00F15387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6D5589" w:rsidRPr="007F444A" w14:paraId="407E71FD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777E6" w14:textId="77777777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78EA" w14:textId="6B5E628A" w:rsidR="006D5589" w:rsidRPr="007F444A" w:rsidRDefault="00F327B4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Не требуется</w:t>
            </w:r>
          </w:p>
        </w:tc>
      </w:tr>
      <w:tr w:rsidR="006D5589" w:rsidRPr="007F444A" w14:paraId="0DA7D438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CD9A" w14:textId="77777777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18. Иные требования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382A" w14:textId="67BCC90F" w:rsidR="006D5589" w:rsidRPr="0015542B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1</w:t>
            </w:r>
            <w:r w:rsidR="00F327B4">
              <w:rPr>
                <w:rFonts w:ascii="Tahoma" w:hAnsi="Tahoma" w:cs="Tahoma"/>
                <w:sz w:val="18"/>
                <w:szCs w:val="18"/>
              </w:rPr>
              <w:t>8</w:t>
            </w:r>
            <w:r w:rsidRPr="0015542B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15542B">
              <w:rPr>
                <w:rFonts w:ascii="Tahoma" w:hAnsi="Tahoma" w:cs="Tahoma"/>
                <w:sz w:val="18"/>
                <w:szCs w:val="18"/>
              </w:rPr>
              <w:t xml:space="preserve"> В стоимость товаров должны быть включены все налоги и обязательные платежи все расходы на упаковку, маркировку, транспортировку.</w:t>
            </w:r>
          </w:p>
          <w:p w14:paraId="0E952D8B" w14:textId="6DED5622" w:rsidR="006D5589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15542B">
              <w:rPr>
                <w:rFonts w:ascii="Tahoma" w:hAnsi="Tahoma" w:cs="Tahoma"/>
                <w:sz w:val="18"/>
                <w:szCs w:val="18"/>
              </w:rPr>
              <w:t>1</w:t>
            </w:r>
            <w:r w:rsidR="00F327B4">
              <w:rPr>
                <w:rFonts w:ascii="Tahoma" w:hAnsi="Tahoma" w:cs="Tahoma"/>
                <w:sz w:val="18"/>
                <w:szCs w:val="18"/>
              </w:rPr>
              <w:t>8</w:t>
            </w:r>
            <w:r w:rsidRPr="0015542B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15542B">
              <w:rPr>
                <w:rFonts w:ascii="Tahoma" w:hAnsi="Tahoma" w:cs="Tahoma"/>
                <w:sz w:val="18"/>
                <w:szCs w:val="18"/>
              </w:rPr>
              <w:t>. Возможность поставки дизельного топлива в выходные и праздничные дни.</w:t>
            </w:r>
          </w:p>
          <w:p w14:paraId="0C00F13C" w14:textId="3B945692" w:rsidR="006D5589" w:rsidRDefault="00F327B4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  <w:r w:rsidR="00426DF4">
              <w:rPr>
                <w:rFonts w:ascii="Tahoma" w:hAnsi="Tahoma" w:cs="Tahoma"/>
                <w:sz w:val="18"/>
                <w:szCs w:val="18"/>
              </w:rPr>
              <w:t>.3</w:t>
            </w:r>
            <w:r w:rsidR="006D5589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6D5589" w:rsidRPr="001002C2">
              <w:rPr>
                <w:rFonts w:ascii="Tahoma" w:hAnsi="Tahoma" w:cs="Tahoma"/>
                <w:sz w:val="18"/>
                <w:szCs w:val="18"/>
              </w:rPr>
              <w:t xml:space="preserve">При поставке топлива на терминал, смежные отсеки автоцистерны должны быть заполнены по мерную планку или пусты. </w:t>
            </w:r>
          </w:p>
          <w:p w14:paraId="1B334611" w14:textId="10A040F8" w:rsidR="006D5589" w:rsidRDefault="00F327B4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  <w:r w:rsidR="006D5589">
              <w:rPr>
                <w:rFonts w:ascii="Tahoma" w:hAnsi="Tahoma" w:cs="Tahoma"/>
                <w:sz w:val="18"/>
                <w:szCs w:val="18"/>
              </w:rPr>
              <w:t>.</w:t>
            </w:r>
            <w:r w:rsidR="00426DF4">
              <w:rPr>
                <w:rFonts w:ascii="Tahoma" w:hAnsi="Tahoma" w:cs="Tahoma"/>
                <w:sz w:val="18"/>
                <w:szCs w:val="18"/>
              </w:rPr>
              <w:t>4</w:t>
            </w:r>
            <w:r w:rsidR="006D5589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6D5589" w:rsidRPr="000A4ED0">
              <w:rPr>
                <w:rFonts w:ascii="Tahoma" w:hAnsi="Tahoma" w:cs="Tahoma"/>
                <w:sz w:val="18"/>
                <w:szCs w:val="18"/>
              </w:rPr>
              <w:t>Все сливные/раздаточные узлы и наливная горловина цистерны должны быть опломбированы, номера пломб внесены в товаротранспортную накладную</w:t>
            </w:r>
            <w:r w:rsidR="006D5589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14:paraId="1913C7A8" w14:textId="5FADBF5A" w:rsidR="006D5589" w:rsidRDefault="00F327B4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  <w:r w:rsidR="00426DF4">
              <w:rPr>
                <w:rFonts w:ascii="Tahoma" w:hAnsi="Tahoma" w:cs="Tahoma"/>
                <w:sz w:val="18"/>
                <w:szCs w:val="18"/>
              </w:rPr>
              <w:t>.5</w:t>
            </w:r>
            <w:r w:rsidR="006D5589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6D5589" w:rsidRPr="00815A30">
              <w:rPr>
                <w:rFonts w:ascii="Tahoma" w:hAnsi="Tahoma" w:cs="Tahoma"/>
                <w:sz w:val="18"/>
                <w:szCs w:val="18"/>
              </w:rPr>
              <w:t>Исправные перепускные/обратные/запорные клапана, не позволяющие перетекать ГСМ в смежные отсеки.</w:t>
            </w:r>
          </w:p>
          <w:p w14:paraId="50C76CDA" w14:textId="32ED6CE7" w:rsidR="006D5589" w:rsidRPr="007F444A" w:rsidRDefault="00607F39" w:rsidP="006D558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18.6. </w:t>
            </w:r>
            <w:r w:rsidR="00EE32EC" w:rsidRPr="00EE32EC">
              <w:rPr>
                <w:rFonts w:ascii="Tahoma" w:hAnsi="Tahoma" w:cs="Tahoma"/>
                <w:sz w:val="18"/>
                <w:szCs w:val="18"/>
              </w:rPr>
              <w:t>ТС должно быть полностью исправно и иметь заводскую конфигурацию. Лестница, ступени и перила должны быть исправны. Перила должны надежно фиксироваться в рабочем положении.</w:t>
            </w:r>
          </w:p>
        </w:tc>
      </w:tr>
      <w:tr w:rsidR="006D5589" w:rsidRPr="007F444A" w14:paraId="7BFE3CC1" w14:textId="77777777" w:rsidTr="006713C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26D5" w14:textId="77777777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>19. Срок действия КП/ТКП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A5F3" w14:textId="4BE3596C" w:rsidR="006D5589" w:rsidRPr="007F444A" w:rsidRDefault="006D5589" w:rsidP="006D5589">
            <w:pPr>
              <w:rPr>
                <w:rFonts w:ascii="Tahoma" w:hAnsi="Tahoma" w:cs="Tahoma"/>
                <w:sz w:val="18"/>
                <w:szCs w:val="18"/>
              </w:rPr>
            </w:pPr>
            <w:r w:rsidRPr="007F444A">
              <w:rPr>
                <w:rFonts w:ascii="Tahoma" w:hAnsi="Tahoma" w:cs="Tahoma"/>
                <w:sz w:val="18"/>
                <w:szCs w:val="18"/>
              </w:rPr>
              <w:t xml:space="preserve">Не менее </w:t>
            </w:r>
            <w:r>
              <w:rPr>
                <w:rFonts w:ascii="Tahoma" w:hAnsi="Tahoma" w:cs="Tahoma"/>
                <w:sz w:val="18"/>
                <w:szCs w:val="18"/>
              </w:rPr>
              <w:t xml:space="preserve">30 </w:t>
            </w:r>
            <w:r w:rsidRPr="007F444A">
              <w:rPr>
                <w:rFonts w:ascii="Tahoma" w:hAnsi="Tahoma" w:cs="Tahoma"/>
                <w:sz w:val="18"/>
                <w:szCs w:val="18"/>
              </w:rPr>
              <w:t>календарных дней с даты направления</w:t>
            </w:r>
          </w:p>
        </w:tc>
      </w:tr>
    </w:tbl>
    <w:p w14:paraId="636DC461" w14:textId="77777777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p w14:paraId="67699291" w14:textId="77777777" w:rsidR="00B51002" w:rsidRDefault="00B10AE3" w:rsidP="00B10AE3">
      <w:pPr>
        <w:ind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 xml:space="preserve">Закупочная процедура, является внутренней процедурой выбора </w:t>
      </w:r>
      <w:r w:rsidR="00B51002">
        <w:rPr>
          <w:rFonts w:ascii="Tahoma" w:hAnsi="Tahoma" w:cs="Tahoma"/>
          <w:sz w:val="18"/>
          <w:szCs w:val="18"/>
        </w:rPr>
        <w:t>Мурманским транспортным филиалом ПАО «ГМК «Норильский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14:paraId="5BC5A9DE" w14:textId="27C90FA2" w:rsidR="00B10AE3" w:rsidRPr="007F444A" w:rsidRDefault="00B51002" w:rsidP="00B10AE3">
      <w:pPr>
        <w:ind w:firstLine="567"/>
        <w:rPr>
          <w:rFonts w:ascii="Tahoma" w:hAnsi="Tahoma" w:cs="Tahoma"/>
          <w:sz w:val="18"/>
          <w:szCs w:val="18"/>
        </w:rPr>
      </w:pPr>
      <w:r w:rsidRPr="00E4708F">
        <w:rPr>
          <w:rFonts w:ascii="Tahoma" w:hAnsi="Tahoma" w:cs="Tahoma"/>
          <w:sz w:val="18"/>
          <w:szCs w:val="18"/>
        </w:rPr>
        <w:t>Мурманский транспортный филиал ПАО «ГМК Норильский никель»</w:t>
      </w:r>
      <w:r w:rsidR="00B10AE3" w:rsidRPr="007F444A">
        <w:rPr>
          <w:rFonts w:ascii="Tahoma" w:hAnsi="Tahoma" w:cs="Tahoma"/>
          <w:sz w:val="18"/>
          <w:szCs w:val="18"/>
        </w:rPr>
        <w:t xml:space="preserve">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14:paraId="49128DD4" w14:textId="65714C79" w:rsidR="00B10AE3" w:rsidRPr="007F444A" w:rsidRDefault="00B10AE3" w:rsidP="00B10AE3">
      <w:pPr>
        <w:ind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</w:t>
      </w:r>
      <w:r w:rsidR="00B51002">
        <w:rPr>
          <w:rFonts w:ascii="Tahoma" w:hAnsi="Tahoma" w:cs="Tahoma"/>
          <w:sz w:val="18"/>
          <w:szCs w:val="18"/>
        </w:rPr>
        <w:t>Мурманским транспортным филиалом ПАО «ГМК «Норильский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не возмещаются.</w:t>
      </w:r>
    </w:p>
    <w:p w14:paraId="5DA927EE" w14:textId="5FAF95F0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>Вопросы, связанные с организацией данной Закупочной процедуры, заполнению документации, предоставлению разъяснений можно направлять на электронный адрес</w:t>
      </w:r>
      <w:r w:rsidR="00B51002">
        <w:rPr>
          <w:rFonts w:ascii="Tahoma" w:hAnsi="Tahoma" w:cs="Tahoma"/>
          <w:sz w:val="18"/>
          <w:szCs w:val="18"/>
        </w:rPr>
        <w:t xml:space="preserve">, </w:t>
      </w:r>
      <w:r w:rsidR="00B51002" w:rsidRPr="00E4708F">
        <w:rPr>
          <w:rFonts w:ascii="Tahoma" w:hAnsi="Tahoma" w:cs="Tahoma"/>
          <w:sz w:val="18"/>
          <w:szCs w:val="18"/>
        </w:rPr>
        <w:t xml:space="preserve">указанный в параметрах конкурса в графе контактный </w:t>
      </w:r>
      <w:r w:rsidR="00B51002" w:rsidRPr="00E4708F">
        <w:rPr>
          <w:rFonts w:ascii="Tahoma" w:hAnsi="Tahoma" w:cs="Tahoma"/>
          <w:sz w:val="18"/>
          <w:szCs w:val="18"/>
          <w:lang w:val="en-US"/>
        </w:rPr>
        <w:t>email</w:t>
      </w:r>
      <w:r w:rsidRPr="007F444A">
        <w:rPr>
          <w:rFonts w:ascii="Tahoma" w:hAnsi="Tahoma" w:cs="Tahoma"/>
          <w:sz w:val="18"/>
          <w:szCs w:val="18"/>
        </w:rPr>
        <w:t>.</w:t>
      </w:r>
    </w:p>
    <w:p w14:paraId="47D5FA51" w14:textId="5427030E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ab/>
        <w:t xml:space="preserve">Передача информации другим подразделениям </w:t>
      </w:r>
      <w:r w:rsidR="003D2DEC" w:rsidRPr="00E4708F">
        <w:rPr>
          <w:rFonts w:ascii="Tahoma" w:hAnsi="Tahoma" w:cs="Tahoma"/>
          <w:sz w:val="18"/>
          <w:szCs w:val="18"/>
        </w:rPr>
        <w:t>Мурманск</w:t>
      </w:r>
      <w:r w:rsidR="003D2DEC">
        <w:rPr>
          <w:rFonts w:ascii="Tahoma" w:hAnsi="Tahoma" w:cs="Tahoma"/>
          <w:sz w:val="18"/>
          <w:szCs w:val="18"/>
        </w:rPr>
        <w:t>ого</w:t>
      </w:r>
      <w:r w:rsidR="003D2DEC" w:rsidRPr="00E4708F">
        <w:rPr>
          <w:rFonts w:ascii="Tahoma" w:hAnsi="Tahoma" w:cs="Tahoma"/>
          <w:sz w:val="18"/>
          <w:szCs w:val="18"/>
        </w:rPr>
        <w:t xml:space="preserve"> транспорт</w:t>
      </w:r>
      <w:r w:rsidR="003D2DEC">
        <w:rPr>
          <w:rFonts w:ascii="Tahoma" w:hAnsi="Tahoma" w:cs="Tahoma"/>
          <w:sz w:val="18"/>
          <w:szCs w:val="18"/>
        </w:rPr>
        <w:t>ного</w:t>
      </w:r>
      <w:r w:rsidR="003D2DEC" w:rsidRPr="00E4708F">
        <w:rPr>
          <w:rFonts w:ascii="Tahoma" w:hAnsi="Tahoma" w:cs="Tahoma"/>
          <w:sz w:val="18"/>
          <w:szCs w:val="18"/>
        </w:rPr>
        <w:t xml:space="preserve"> филиал</w:t>
      </w:r>
      <w:r w:rsidR="003D2DEC">
        <w:rPr>
          <w:rFonts w:ascii="Tahoma" w:hAnsi="Tahoma" w:cs="Tahoma"/>
          <w:sz w:val="18"/>
          <w:szCs w:val="18"/>
        </w:rPr>
        <w:t>а</w:t>
      </w:r>
      <w:r w:rsidR="003D2DEC" w:rsidRPr="00E4708F">
        <w:rPr>
          <w:rFonts w:ascii="Tahoma" w:hAnsi="Tahoma" w:cs="Tahoma"/>
          <w:sz w:val="18"/>
          <w:szCs w:val="18"/>
        </w:rPr>
        <w:t xml:space="preserve"> ПАО «ГМК 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до объявления результатов Закупочной процедуры не допускается, при обнаружении </w:t>
      </w:r>
      <w:r w:rsidRPr="007F444A">
        <w:rPr>
          <w:rFonts w:ascii="Tahoma" w:hAnsi="Tahoma" w:cs="Tahoma"/>
          <w:sz w:val="18"/>
          <w:szCs w:val="18"/>
        </w:rPr>
        <w:lastRenderedPageBreak/>
        <w:t xml:space="preserve">подобных фактов, </w:t>
      </w:r>
      <w:r w:rsidR="003D2DEC" w:rsidRPr="00E4708F">
        <w:rPr>
          <w:rFonts w:ascii="Tahoma" w:hAnsi="Tahoma" w:cs="Tahoma"/>
          <w:sz w:val="18"/>
          <w:szCs w:val="18"/>
        </w:rPr>
        <w:t>Мурманский транспортный филиал ПАО «ГМК «Норильский никель»</w:t>
      </w:r>
      <w:r w:rsidRPr="007F444A">
        <w:rPr>
          <w:rFonts w:ascii="Tahoma" w:hAnsi="Tahoma" w:cs="Tahoma"/>
          <w:sz w:val="18"/>
          <w:szCs w:val="18"/>
        </w:rPr>
        <w:t xml:space="preserve"> оставляет за собой право исключить потенциального Поставщика из дальнейшего участия в Закупочной процедуре).</w:t>
      </w:r>
    </w:p>
    <w:p w14:paraId="76F0DAF3" w14:textId="77777777" w:rsidR="00B10AE3" w:rsidRPr="007F444A" w:rsidRDefault="00B10AE3" w:rsidP="00B10AE3">
      <w:pPr>
        <w:ind w:right="333" w:firstLine="567"/>
        <w:rPr>
          <w:rFonts w:ascii="Tahoma" w:hAnsi="Tahoma" w:cs="Tahoma"/>
          <w:sz w:val="18"/>
          <w:szCs w:val="18"/>
        </w:rPr>
      </w:pPr>
    </w:p>
    <w:p w14:paraId="110CA134" w14:textId="6BE04640" w:rsidR="00B10AE3" w:rsidRPr="007F444A" w:rsidRDefault="00B10AE3" w:rsidP="00B10AE3">
      <w:pPr>
        <w:ind w:right="333" w:firstLine="567"/>
        <w:rPr>
          <w:rFonts w:ascii="Tahoma" w:hAnsi="Tahoma" w:cs="Tahoma"/>
          <w:b/>
          <w:sz w:val="18"/>
          <w:szCs w:val="18"/>
        </w:rPr>
      </w:pPr>
      <w:r w:rsidRPr="007F444A">
        <w:rPr>
          <w:rFonts w:ascii="Tahoma" w:hAnsi="Tahoma" w:cs="Tahoma"/>
          <w:sz w:val="18"/>
          <w:szCs w:val="18"/>
        </w:rPr>
        <w:t>Приложение</w:t>
      </w:r>
      <w:r w:rsidRPr="007F444A">
        <w:rPr>
          <w:rFonts w:ascii="Tahoma" w:hAnsi="Tahoma" w:cs="Tahoma"/>
          <w:b/>
          <w:sz w:val="18"/>
          <w:szCs w:val="18"/>
        </w:rPr>
        <w:t>:</w:t>
      </w:r>
    </w:p>
    <w:p w14:paraId="472379F1" w14:textId="77777777" w:rsidR="00DB03E0" w:rsidRPr="008D01B9" w:rsidRDefault="00DB03E0" w:rsidP="00DB03E0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8D01B9">
        <w:rPr>
          <w:rFonts w:ascii="Tahoma" w:hAnsi="Tahoma" w:cs="Tahoma"/>
          <w:sz w:val="18"/>
          <w:szCs w:val="18"/>
        </w:rPr>
        <w:t>Типовая форма договора.</w:t>
      </w:r>
    </w:p>
    <w:p w14:paraId="50A95651" w14:textId="2DDFFE6D" w:rsidR="00DB03E0" w:rsidRPr="008D01B9" w:rsidRDefault="00DB03E0" w:rsidP="007A4B23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 w:rsidRPr="008D01B9">
        <w:rPr>
          <w:rFonts w:ascii="Tahoma" w:hAnsi="Tahoma" w:cs="Tahoma"/>
          <w:sz w:val="18"/>
          <w:szCs w:val="18"/>
        </w:rPr>
        <w:t>Текст Заявки на участие в Закупочной процедуре.</w:t>
      </w:r>
      <w:bookmarkEnd w:id="6"/>
      <w:bookmarkEnd w:id="7"/>
    </w:p>
    <w:p w14:paraId="053071D8" w14:textId="67677A37" w:rsidR="008D01B9" w:rsidRPr="008D01B9" w:rsidRDefault="00796DDF" w:rsidP="008D01B9">
      <w:pPr>
        <w:numPr>
          <w:ilvl w:val="0"/>
          <w:numId w:val="1"/>
        </w:numPr>
        <w:ind w:right="333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ТЗ на топливо Терминал 3</w:t>
      </w:r>
      <w:r w:rsidR="008D01B9" w:rsidRPr="008D01B9">
        <w:rPr>
          <w:rFonts w:ascii="Tahoma" w:hAnsi="Tahoma" w:cs="Tahoma"/>
          <w:sz w:val="18"/>
          <w:szCs w:val="18"/>
        </w:rPr>
        <w:t xml:space="preserve"> кв. 2025</w:t>
      </w:r>
    </w:p>
    <w:sectPr w:rsidR="008D01B9" w:rsidRPr="008D0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AB8DC" w14:textId="77777777" w:rsidR="003464F5" w:rsidRDefault="003464F5" w:rsidP="00B10AE3">
      <w:r>
        <w:separator/>
      </w:r>
    </w:p>
  </w:endnote>
  <w:endnote w:type="continuationSeparator" w:id="0">
    <w:p w14:paraId="0132FF8D" w14:textId="77777777" w:rsidR="003464F5" w:rsidRDefault="003464F5" w:rsidP="00B1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7A28F" w14:textId="77777777" w:rsidR="003464F5" w:rsidRDefault="003464F5" w:rsidP="00B10AE3">
      <w:r>
        <w:separator/>
      </w:r>
    </w:p>
  </w:footnote>
  <w:footnote w:type="continuationSeparator" w:id="0">
    <w:p w14:paraId="4C4D3B6D" w14:textId="77777777" w:rsidR="003464F5" w:rsidRDefault="003464F5" w:rsidP="00B1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28AB"/>
    <w:multiLevelType w:val="hybridMultilevel"/>
    <w:tmpl w:val="E774E1BC"/>
    <w:lvl w:ilvl="0" w:tplc="5A0E49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A7"/>
    <w:rsid w:val="000313EF"/>
    <w:rsid w:val="000B052E"/>
    <w:rsid w:val="000B68B0"/>
    <w:rsid w:val="001248B1"/>
    <w:rsid w:val="00152FB0"/>
    <w:rsid w:val="001B0638"/>
    <w:rsid w:val="002020BF"/>
    <w:rsid w:val="00244A2E"/>
    <w:rsid w:val="0026542E"/>
    <w:rsid w:val="002A0B1D"/>
    <w:rsid w:val="00306A24"/>
    <w:rsid w:val="003155B6"/>
    <w:rsid w:val="003464F5"/>
    <w:rsid w:val="00392D4A"/>
    <w:rsid w:val="003D2DEC"/>
    <w:rsid w:val="00426DF4"/>
    <w:rsid w:val="00426FE1"/>
    <w:rsid w:val="00446CE9"/>
    <w:rsid w:val="004534A4"/>
    <w:rsid w:val="004A12F5"/>
    <w:rsid w:val="004B75F9"/>
    <w:rsid w:val="00607F39"/>
    <w:rsid w:val="006509EE"/>
    <w:rsid w:val="006837B9"/>
    <w:rsid w:val="006B44DD"/>
    <w:rsid w:val="006D5589"/>
    <w:rsid w:val="00705027"/>
    <w:rsid w:val="00723AE7"/>
    <w:rsid w:val="00760E5B"/>
    <w:rsid w:val="00796DDF"/>
    <w:rsid w:val="007A4B23"/>
    <w:rsid w:val="007F444A"/>
    <w:rsid w:val="0086505F"/>
    <w:rsid w:val="0087635C"/>
    <w:rsid w:val="008D01B9"/>
    <w:rsid w:val="008E6F51"/>
    <w:rsid w:val="009208D1"/>
    <w:rsid w:val="009570C6"/>
    <w:rsid w:val="009921BC"/>
    <w:rsid w:val="00A11D47"/>
    <w:rsid w:val="00A17467"/>
    <w:rsid w:val="00A47A52"/>
    <w:rsid w:val="00A97C78"/>
    <w:rsid w:val="00B10AE3"/>
    <w:rsid w:val="00B51002"/>
    <w:rsid w:val="00BB44A2"/>
    <w:rsid w:val="00C1565A"/>
    <w:rsid w:val="00CB1DA7"/>
    <w:rsid w:val="00CF5B96"/>
    <w:rsid w:val="00D13020"/>
    <w:rsid w:val="00D20B06"/>
    <w:rsid w:val="00DB03E0"/>
    <w:rsid w:val="00DD70A9"/>
    <w:rsid w:val="00DF2EB6"/>
    <w:rsid w:val="00E62225"/>
    <w:rsid w:val="00EE32EC"/>
    <w:rsid w:val="00F15387"/>
    <w:rsid w:val="00F22E37"/>
    <w:rsid w:val="00F30917"/>
    <w:rsid w:val="00F327B4"/>
    <w:rsid w:val="00F45B9E"/>
    <w:rsid w:val="00F7722C"/>
    <w:rsid w:val="00FB22F9"/>
    <w:rsid w:val="00FC3D56"/>
    <w:rsid w:val="00FC50EB"/>
    <w:rsid w:val="00F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606B6"/>
  <w15:chartTrackingRefBased/>
  <w15:docId w15:val="{B54FBA5C-35EE-405F-BDBC-161BD213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B10AE3"/>
    <w:rPr>
      <w:vertAlign w:val="superscript"/>
    </w:rPr>
  </w:style>
  <w:style w:type="paragraph" w:styleId="a4">
    <w:name w:val="footnote text"/>
    <w:basedOn w:val="a"/>
    <w:link w:val="a5"/>
    <w:uiPriority w:val="99"/>
    <w:rsid w:val="00B10AE3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B10A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B10AE3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6837B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837B9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837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837B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837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837B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837B9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aliases w:val="Заголовок_3,Bullet_IRAO,Мой Список,нумерация,AC List 01,Подпись рисунка,Table-Normal,RSHB_Table-Normal,List Paragraph1,A_Bullet,Bullet List,FooterText,numbered,Цветной список - Акцент 11"/>
    <w:basedOn w:val="a"/>
    <w:link w:val="af"/>
    <w:uiPriority w:val="34"/>
    <w:qFormat/>
    <w:rsid w:val="00E6222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aliases w:val="Заголовок_3 Знак,Bullet_IRAO Знак,Мой Список Знак,нумерация Знак,AC List 01 Знак,Подпись рисунка Знак,Table-Normal Знак,RSHB_Table-Normal Знак,List Paragraph1 Знак,A_Bullet Знак,Bullet List Знак,FooterText Знак,numbered Знак"/>
    <w:link w:val="ae"/>
    <w:uiPriority w:val="34"/>
    <w:locked/>
    <w:rsid w:val="00E62225"/>
    <w:rPr>
      <w:rFonts w:ascii="Calibri" w:eastAsia="Calibri" w:hAnsi="Calibri" w:cs="Times New Roman"/>
    </w:rPr>
  </w:style>
  <w:style w:type="character" w:styleId="af0">
    <w:name w:val="FollowedHyperlink"/>
    <w:basedOn w:val="a0"/>
    <w:uiPriority w:val="99"/>
    <w:semiHidden/>
    <w:unhideWhenUsed/>
    <w:rsid w:val="00D20B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0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Цикра Марина Владимировна</dc:creator>
  <cp:keywords/>
  <dc:description/>
  <cp:lastModifiedBy>Тиханова Карина Эдуардовна</cp:lastModifiedBy>
  <cp:revision>7</cp:revision>
  <dcterms:created xsi:type="dcterms:W3CDTF">2025-03-17T08:31:00Z</dcterms:created>
  <dcterms:modified xsi:type="dcterms:W3CDTF">2025-06-04T13:19:00Z</dcterms:modified>
</cp:coreProperties>
</file>