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4966F1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966F1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4966F1">
        <w:rPr>
          <w:rFonts w:ascii="Tahoma" w:hAnsi="Tahoma" w:cs="Tahoma"/>
          <w:b/>
          <w:sz w:val="20"/>
          <w:szCs w:val="20"/>
        </w:rPr>
        <w:t>участи</w:t>
      </w:r>
      <w:r w:rsidR="00FF444C" w:rsidRPr="004966F1">
        <w:rPr>
          <w:rFonts w:ascii="Tahoma" w:hAnsi="Tahoma" w:cs="Tahoma"/>
          <w:b/>
          <w:sz w:val="20"/>
          <w:szCs w:val="20"/>
        </w:rPr>
        <w:t>е</w:t>
      </w:r>
      <w:r w:rsidR="000F79FB" w:rsidRPr="004966F1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45490D" w:rsidRPr="00382100">
        <w:rPr>
          <w:rFonts w:ascii="Tahoma" w:hAnsi="Tahoma" w:cs="Tahoma"/>
          <w:b/>
          <w:sz w:val="20"/>
          <w:szCs w:val="20"/>
        </w:rPr>
        <w:t>200</w:t>
      </w:r>
      <w:r w:rsidR="0045490D">
        <w:rPr>
          <w:rFonts w:ascii="Tahoma" w:hAnsi="Tahoma" w:cs="Tahoma"/>
          <w:b/>
          <w:sz w:val="20"/>
          <w:szCs w:val="20"/>
        </w:rPr>
        <w:t>46777</w:t>
      </w:r>
    </w:p>
    <w:p w:rsidR="00191837" w:rsidRPr="004966F1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4966F1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4966F1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4966F1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4966F1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4966F1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4966F1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4966F1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4966F1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4966F1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4966F1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4966F1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4966F1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4966F1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4966F1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4966F1">
        <w:rPr>
          <w:rFonts w:ascii="Tahoma" w:hAnsi="Tahoma" w:cs="Tahoma"/>
          <w:i/>
          <w:sz w:val="20"/>
          <w:szCs w:val="20"/>
        </w:rPr>
        <w:t>,</w:t>
      </w:r>
      <w:r w:rsidRPr="004966F1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4966F1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4966F1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3647C1" w:rsidRPr="004966F1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4966F1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4966F1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4966F1" w:rsidRDefault="0045490D" w:rsidP="006532C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490D">
              <w:rPr>
                <w:rFonts w:ascii="Tahoma" w:hAnsi="Tahoma" w:cs="Tahoma"/>
                <w:sz w:val="20"/>
                <w:szCs w:val="20"/>
              </w:rPr>
              <w:t>Поставка шланга гибкого, в соответствии со спецификацией №23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4966F1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4966F1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4966F1" w:rsidRDefault="00DC762F" w:rsidP="00DC762F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4966F1" w:rsidRDefault="0045490D" w:rsidP="0045490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</w:t>
            </w:r>
            <w:r w:rsidRPr="00932F71">
              <w:rPr>
                <w:rFonts w:ascii="Tahoma" w:hAnsi="Tahoma" w:cs="Tahoma"/>
                <w:sz w:val="20"/>
                <w:szCs w:val="20"/>
              </w:rPr>
              <w:t xml:space="preserve"> даты заключения договора до 31.07.2025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4966F1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4966F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4966F1" w:rsidRDefault="007F7FC3" w:rsidP="006532C5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4966F1" w:rsidRDefault="002970A0" w:rsidP="00C47C65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 xml:space="preserve">Мурманская область, г. Мончегорск, территория </w:t>
            </w:r>
            <w:proofErr w:type="spellStart"/>
            <w:r w:rsidRPr="004966F1">
              <w:rPr>
                <w:rFonts w:ascii="Tahoma" w:hAnsi="Tahoma" w:cs="Tahoma"/>
                <w:sz w:val="20"/>
              </w:rPr>
              <w:t>Промплощадка</w:t>
            </w:r>
            <w:proofErr w:type="spellEnd"/>
            <w:r w:rsidRPr="004966F1">
              <w:rPr>
                <w:rFonts w:ascii="Tahoma" w:hAnsi="Tahoma" w:cs="Tahoma"/>
                <w:sz w:val="20"/>
              </w:rPr>
              <w:t xml:space="preserve"> КГМК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6532C5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4966F1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4966F1" w:rsidRDefault="002970A0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4966F1">
              <w:rPr>
                <w:rFonts w:ascii="Tahoma" w:hAnsi="Tahoma" w:cs="Tahoma"/>
                <w:sz w:val="20"/>
              </w:rPr>
              <w:br/>
            </w:r>
          </w:p>
          <w:p w:rsidR="003647C1" w:rsidRPr="004966F1" w:rsidRDefault="0045490D" w:rsidP="007F7FC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2100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382100">
              <w:rPr>
                <w:rFonts w:ascii="Tahoma" w:hAnsi="Tahoma" w:cs="Tahoma"/>
                <w:spacing w:val="-5"/>
                <w:sz w:val="20"/>
                <w:szCs w:val="20"/>
              </w:rPr>
              <w:t>В соответствии с типовым договором</w:t>
            </w:r>
            <w:r w:rsidRPr="00382100">
              <w:rPr>
                <w:rFonts w:ascii="Tahoma" w:hAnsi="Tahoma" w:cs="Tahoma"/>
                <w:sz w:val="20"/>
                <w:szCs w:val="20"/>
              </w:rPr>
              <w:t xml:space="preserve"> АО «Кольская ГМК». Без авансирования. Оплата товара осуществляется Покупателем в перв</w:t>
            </w:r>
            <w:r>
              <w:rPr>
                <w:rFonts w:ascii="Tahoma" w:hAnsi="Tahoma" w:cs="Tahoma"/>
                <w:sz w:val="20"/>
                <w:szCs w:val="20"/>
              </w:rPr>
              <w:t>ую</w:t>
            </w:r>
            <w:r w:rsidRPr="00382100">
              <w:rPr>
                <w:rFonts w:ascii="Tahoma" w:hAnsi="Tahoma" w:cs="Tahoma"/>
                <w:sz w:val="20"/>
                <w:szCs w:val="20"/>
              </w:rPr>
              <w:t xml:space="preserve"> рабоч</w:t>
            </w:r>
            <w:r>
              <w:rPr>
                <w:rFonts w:ascii="Tahoma" w:hAnsi="Tahoma" w:cs="Tahoma"/>
                <w:sz w:val="20"/>
                <w:szCs w:val="20"/>
              </w:rPr>
              <w:t>ую</w:t>
            </w:r>
            <w:r w:rsidRPr="003821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среду</w:t>
            </w:r>
            <w:r w:rsidRPr="00382100">
              <w:rPr>
                <w:rFonts w:ascii="Tahoma" w:hAnsi="Tahoma" w:cs="Tahoma"/>
                <w:sz w:val="20"/>
                <w:szCs w:val="20"/>
              </w:rPr>
              <w:t xml:space="preserve">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0F2552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4966F1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4966F1">
              <w:rPr>
                <w:rFonts w:ascii="Tahoma" w:hAnsi="Tahoma" w:cs="Tahoma"/>
                <w:sz w:val="20"/>
              </w:rPr>
              <w:br/>
            </w:r>
          </w:p>
          <w:p w:rsidR="00FF444C" w:rsidRPr="004966F1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4966F1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4966F1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4966F1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4966F1" w:rsidRDefault="003647C1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4966F1" w:rsidTr="00CC466A">
        <w:trPr>
          <w:trHeight w:val="3874"/>
        </w:trPr>
        <w:tc>
          <w:tcPr>
            <w:tcW w:w="6091" w:type="dxa"/>
            <w:shd w:val="clear" w:color="auto" w:fill="auto"/>
          </w:tcPr>
          <w:p w:rsidR="00833ADB" w:rsidRPr="004966F1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4966F1" w:rsidRDefault="000F2552" w:rsidP="00C47C6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4966F1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4966F1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4966F1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4966F1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4966F1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4966F1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4966F1" w:rsidRDefault="000F2552" w:rsidP="00C47C65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4966F1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4966F1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4966F1" w:rsidRDefault="000F2552" w:rsidP="00C47C65">
            <w:pPr>
              <w:tabs>
                <w:tab w:val="left" w:pos="567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4966F1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4966F1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4966F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4966F1" w:rsidRDefault="00FE5A8D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4966F1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4966F1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4966F1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4966F1" w:rsidRDefault="00BE4ADF" w:rsidP="007B76F7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4966F1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4966F1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4966F1" w:rsidRDefault="009A6855" w:rsidP="00C47C65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4966F1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4966F1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4966F1" w:rsidRDefault="000F79FB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4966F1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4966F1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4966F1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4966F1" w:rsidRDefault="00CB18BA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4966F1" w:rsidRDefault="00CB18BA" w:rsidP="00890C83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966F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4966F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4966F1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4966F1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4966F1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4966F1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4966F1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4966F1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4966F1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4966F1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4966F1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4966F1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4966F1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4966F1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</w:t>
            </w:r>
            <w:r w:rsidRPr="004966F1">
              <w:rPr>
                <w:rFonts w:ascii="Tahoma" w:hAnsi="Tahoma" w:cs="Tahoma"/>
                <w:sz w:val="20"/>
                <w:szCs w:val="20"/>
              </w:rPr>
              <w:lastRenderedPageBreak/>
              <w:t>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Pr="004966F1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4966F1" w:rsidRDefault="00890C83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4966F1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4966F1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10</w:t>
            </w:r>
            <w:r w:rsidR="00890C83" w:rsidRPr="004966F1">
              <w:rPr>
                <w:rFonts w:ascii="Tahoma" w:hAnsi="Tahoma" w:cs="Tahoma"/>
                <w:sz w:val="20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4966F1">
              <w:rPr>
                <w:rFonts w:ascii="Tahoma" w:hAnsi="Tahoma" w:cs="Tahoma"/>
                <w:sz w:val="20"/>
              </w:rPr>
              <w:t>ЭДО)</w:t>
            </w:r>
            <w:r w:rsidR="00890C83" w:rsidRPr="004966F1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  <w:proofErr w:type="gramEnd"/>
          </w:p>
          <w:p w:rsidR="00890C83" w:rsidRPr="004966F1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4966F1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4966F1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4966F1" w:rsidRDefault="00890C83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  <w:p w:rsidR="00890C83" w:rsidRPr="004966F1" w:rsidRDefault="00890C83" w:rsidP="007F7FC3">
            <w:pPr>
              <w:ind w:firstLine="7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0C83" w:rsidRPr="004966F1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4966F1" w:rsidRDefault="00CB18BA" w:rsidP="00A83A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4966F1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4966F1">
              <w:rPr>
                <w:rFonts w:ascii="Tahoma" w:hAnsi="Tahoma" w:cs="Tahoma"/>
                <w:spacing w:val="-6"/>
                <w:sz w:val="20"/>
                <w:szCs w:val="20"/>
              </w:rPr>
              <w:t xml:space="preserve"> 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4966F1" w:rsidRDefault="00C47C65" w:rsidP="007F7FC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4966F1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4966F1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4966F1" w:rsidRDefault="00CB18BA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12</w:t>
            </w:r>
            <w:r w:rsidR="00890C83" w:rsidRPr="004966F1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4966F1" w:rsidRDefault="006532C5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4966F1" w:rsidRDefault="00890C83" w:rsidP="00890C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4966F1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4966F1" w:rsidRDefault="00890C83" w:rsidP="007F7FC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6F1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4966F1" w:rsidRDefault="006A245C" w:rsidP="006A245C">
      <w:pPr>
        <w:rPr>
          <w:rFonts w:ascii="Tahoma" w:hAnsi="Tahoma" w:cs="Tahoma"/>
          <w:color w:val="1F497D"/>
          <w:sz w:val="20"/>
          <w:szCs w:val="20"/>
        </w:rPr>
      </w:pPr>
      <w:r w:rsidRPr="004966F1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4966F1" w:rsidRDefault="00CB18BA" w:rsidP="00C47C65">
      <w:pPr>
        <w:tabs>
          <w:tab w:val="left" w:pos="993"/>
        </w:tabs>
        <w:spacing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4966F1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4966F1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4966F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4966F1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4966F1" w:rsidRDefault="00CB18BA" w:rsidP="00C47C65">
      <w:pPr>
        <w:tabs>
          <w:tab w:val="left" w:pos="993"/>
        </w:tabs>
        <w:spacing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4966F1">
        <w:rPr>
          <w:rFonts w:ascii="Tahoma" w:hAnsi="Tahoma" w:cs="Tahoma"/>
          <w:sz w:val="20"/>
          <w:szCs w:val="20"/>
        </w:rPr>
        <w:t>______________ (</w:t>
      </w:r>
      <w:r w:rsidRPr="004966F1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4966F1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4966F1" w:rsidRDefault="00CB18BA" w:rsidP="00C47C65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4966F1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4966F1">
        <w:rPr>
          <w:rStyle w:val="a5"/>
          <w:rFonts w:ascii="Tahoma" w:hAnsi="Tahoma" w:cs="Tahoma"/>
          <w:sz w:val="20"/>
        </w:rPr>
        <w:t>:</w:t>
      </w:r>
    </w:p>
    <w:p w:rsidR="00CB18BA" w:rsidRPr="004966F1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4966F1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4966F1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 xml:space="preserve">б) </w:t>
      </w:r>
      <w:proofErr w:type="spellStart"/>
      <w:r w:rsidRPr="004966F1">
        <w:rPr>
          <w:rStyle w:val="a5"/>
          <w:rFonts w:ascii="Tahoma" w:hAnsi="Tahoma" w:cs="Tahoma"/>
          <w:sz w:val="20"/>
        </w:rPr>
        <w:t>неподписании</w:t>
      </w:r>
      <w:proofErr w:type="spellEnd"/>
      <w:r w:rsidRPr="004966F1">
        <w:rPr>
          <w:rStyle w:val="a5"/>
          <w:rFonts w:ascii="Tahoma" w:hAnsi="Tahoma" w:cs="Tahoma"/>
          <w:sz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4966F1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4966F1" w:rsidRDefault="00CB18BA" w:rsidP="00C47C65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4966F1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4966F1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lastRenderedPageBreak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4966F1" w:rsidRDefault="00CB18BA" w:rsidP="00C47C65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4966F1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4966F1" w:rsidRDefault="00CB18BA" w:rsidP="00C47C65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4966F1">
        <w:rPr>
          <w:rFonts w:ascii="Tahoma" w:hAnsi="Tahoma" w:cs="Tahoma"/>
          <w:sz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4966F1">
        <w:rPr>
          <w:rFonts w:ascii="Tahoma" w:hAnsi="Tahoma" w:cs="Tahoma"/>
          <w:sz w:val="20"/>
        </w:rPr>
        <w:t>т.ч</w:t>
      </w:r>
      <w:proofErr w:type="spellEnd"/>
      <w:r w:rsidRPr="004966F1">
        <w:rPr>
          <w:rFonts w:ascii="Tahoma" w:hAnsi="Tahoma" w:cs="Tahoma"/>
          <w:sz w:val="20"/>
        </w:rPr>
        <w:t>. при отказе от заключения договора на условиях, согласованных ______________ (</w:t>
      </w:r>
      <w:r w:rsidRPr="004966F1">
        <w:rPr>
          <w:rFonts w:ascii="Tahoma" w:hAnsi="Tahoma" w:cs="Tahoma"/>
          <w:i/>
          <w:sz w:val="20"/>
        </w:rPr>
        <w:t>указать наименование поставщика</w:t>
      </w:r>
      <w:r w:rsidRPr="004966F1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4966F1">
        <w:rPr>
          <w:rFonts w:ascii="Tahoma" w:hAnsi="Tahoma" w:cs="Tahoma"/>
          <w:i/>
          <w:sz w:val="20"/>
        </w:rPr>
        <w:t>указать наименование поставщика</w:t>
      </w:r>
      <w:r w:rsidRPr="004966F1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4966F1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4966F1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4966F1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4966F1">
        <w:rPr>
          <w:rFonts w:ascii="Tahoma" w:hAnsi="Tahoma" w:cs="Tahoma"/>
          <w:b/>
          <w:sz w:val="20"/>
          <w:szCs w:val="20"/>
        </w:rPr>
        <w:t>Приложени</w:t>
      </w:r>
      <w:r w:rsidR="00383814" w:rsidRPr="004966F1">
        <w:rPr>
          <w:rFonts w:ascii="Tahoma" w:hAnsi="Tahoma" w:cs="Tahoma"/>
          <w:b/>
          <w:sz w:val="20"/>
          <w:szCs w:val="20"/>
        </w:rPr>
        <w:t>я</w:t>
      </w:r>
      <w:r w:rsidRPr="004966F1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4966F1">
        <w:rPr>
          <w:rFonts w:ascii="Tahoma" w:hAnsi="Tahoma" w:cs="Tahoma"/>
          <w:sz w:val="20"/>
          <w:szCs w:val="20"/>
        </w:rPr>
        <w:t xml:space="preserve"> </w:t>
      </w:r>
    </w:p>
    <w:p w:rsidR="003773F1" w:rsidRPr="004966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4966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  <w:r w:rsidRPr="004966F1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4966F1">
        <w:rPr>
          <w:rFonts w:ascii="Tahoma" w:hAnsi="Tahoma" w:cs="Tahoma"/>
          <w:b/>
          <w:sz w:val="20"/>
          <w:szCs w:val="20"/>
        </w:rPr>
        <w:t>Пос</w:t>
      </w:r>
      <w:r w:rsidR="007F7016" w:rsidRPr="004966F1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4966F1">
        <w:rPr>
          <w:rFonts w:ascii="Tahoma" w:hAnsi="Tahoma" w:cs="Tahoma"/>
          <w:b/>
          <w:sz w:val="20"/>
          <w:szCs w:val="20"/>
        </w:rPr>
        <w:t xml:space="preserve">              </w:t>
      </w:r>
      <w:r w:rsidRPr="004966F1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4966F1">
        <w:rPr>
          <w:rFonts w:ascii="Tahoma" w:hAnsi="Tahoma" w:cs="Tahoma"/>
          <w:b/>
          <w:sz w:val="20"/>
          <w:szCs w:val="20"/>
        </w:rPr>
        <w:t xml:space="preserve">  </w:t>
      </w:r>
      <w:r w:rsidRPr="004966F1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4966F1">
        <w:rPr>
          <w:rFonts w:ascii="Tahoma" w:hAnsi="Tahoma" w:cs="Tahoma"/>
          <w:b/>
          <w:sz w:val="20"/>
          <w:szCs w:val="20"/>
        </w:rPr>
        <w:t xml:space="preserve"> </w:t>
      </w:r>
      <w:r w:rsidRPr="004966F1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4966F1">
        <w:rPr>
          <w:rFonts w:ascii="Tahoma" w:hAnsi="Tahoma" w:cs="Tahoma"/>
          <w:b/>
          <w:sz w:val="20"/>
          <w:szCs w:val="20"/>
        </w:rPr>
        <w:t xml:space="preserve">  </w:t>
      </w:r>
      <w:r w:rsidRPr="004966F1">
        <w:rPr>
          <w:rFonts w:ascii="Tahoma" w:hAnsi="Tahoma" w:cs="Tahoma"/>
          <w:b/>
          <w:sz w:val="20"/>
          <w:szCs w:val="20"/>
        </w:rPr>
        <w:t xml:space="preserve">   </w:t>
      </w:r>
      <w:r w:rsidRPr="004966F1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4966F1" w:rsidRDefault="002C5FF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4966F1" w:rsidRDefault="002C5FF1" w:rsidP="002C5FF1">
      <w:pPr>
        <w:tabs>
          <w:tab w:val="left" w:pos="10206"/>
        </w:tabs>
        <w:jc w:val="both"/>
        <w:rPr>
          <w:rStyle w:val="a5"/>
          <w:rFonts w:ascii="Tahoma" w:hAnsi="Tahoma" w:cs="Tahoma"/>
          <w:sz w:val="20"/>
          <w:szCs w:val="20"/>
        </w:rPr>
      </w:pPr>
      <w:r w:rsidRPr="004966F1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4966F1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4966F1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4966F1" w:rsidRDefault="00CC466A" w:rsidP="002C5F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4966F1" w:rsidRDefault="002C5FF1" w:rsidP="002C5F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4966F1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4966F1">
        <w:rPr>
          <w:rFonts w:ascii="Tahoma" w:hAnsi="Tahoma" w:cs="Tahoma"/>
          <w:b/>
          <w:sz w:val="20"/>
          <w:szCs w:val="20"/>
        </w:rPr>
        <w:t xml:space="preserve">Участник)   </w:t>
      </w:r>
      <w:proofErr w:type="gramEnd"/>
      <w:r w:rsidRPr="004966F1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4966F1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4966F1" w:rsidRDefault="002C5FF1" w:rsidP="002C5FF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4966F1" w:rsidRDefault="002C5FF1" w:rsidP="002C5FF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4966F1" w:rsidRDefault="002C5FF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4966F1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835" w:rsidRDefault="00C50835" w:rsidP="00EF71FD">
      <w:pPr>
        <w:spacing w:after="0" w:line="240" w:lineRule="auto"/>
      </w:pPr>
      <w:r>
        <w:separator/>
      </w:r>
    </w:p>
  </w:endnote>
  <w:end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835" w:rsidRDefault="00C50835" w:rsidP="00EF71FD">
      <w:pPr>
        <w:spacing w:after="0" w:line="240" w:lineRule="auto"/>
      </w:pPr>
      <w:r>
        <w:separator/>
      </w:r>
    </w:p>
  </w:footnote>
  <w:footnote w:type="continuationSeparator" w:id="0">
    <w:p w:rsidR="00C50835" w:rsidRDefault="00C50835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0A31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5490D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030D9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9EC676C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DF081-42AF-4944-9E31-C3CD4B58A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Обрядин Виктор Данилович</cp:lastModifiedBy>
  <cp:revision>29</cp:revision>
  <cp:lastPrinted>2017-12-05T13:43:00Z</cp:lastPrinted>
  <dcterms:created xsi:type="dcterms:W3CDTF">2023-08-17T13:39:00Z</dcterms:created>
  <dcterms:modified xsi:type="dcterms:W3CDTF">2025-06-03T12:53:00Z</dcterms:modified>
</cp:coreProperties>
</file>