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Pr="005D7596" w:rsidRDefault="00137794" w:rsidP="005D7596">
      <w:pPr>
        <w:tabs>
          <w:tab w:val="left" w:pos="567"/>
          <w:tab w:val="left" w:pos="1701"/>
          <w:tab w:val="left" w:pos="9498"/>
        </w:tabs>
        <w:ind w:left="6663" w:right="281"/>
        <w:rPr>
          <w:rFonts w:ascii="Tahoma" w:hAnsi="Tahoma" w:cs="Tahoma"/>
          <w:b/>
          <w:sz w:val="20"/>
        </w:rPr>
      </w:pPr>
      <w:r w:rsidRPr="005D7596">
        <w:rPr>
          <w:rFonts w:ascii="Tahoma" w:hAnsi="Tahoma" w:cs="Tahoma"/>
          <w:sz w:val="20"/>
        </w:rPr>
        <w:t xml:space="preserve">Приложение </w:t>
      </w:r>
      <w:r w:rsidR="005D7596">
        <w:rPr>
          <w:rFonts w:ascii="Tahoma" w:hAnsi="Tahoma" w:cs="Tahoma"/>
          <w:sz w:val="20"/>
        </w:rPr>
        <w:t xml:space="preserve">№ </w:t>
      </w:r>
      <w:bookmarkStart w:id="0" w:name="_GoBack"/>
      <w:bookmarkEnd w:id="0"/>
      <w:r w:rsidR="005D7596" w:rsidRPr="005D7596">
        <w:rPr>
          <w:rFonts w:ascii="Tahoma" w:hAnsi="Tahoma" w:cs="Tahoma"/>
          <w:sz w:val="20"/>
        </w:rPr>
        <w:t>1 к Приглашению</w:t>
      </w: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-0</w:t>
      </w:r>
      <w:r w:rsidR="00DE143D">
        <w:rPr>
          <w:rStyle w:val="af5"/>
          <w:rFonts w:ascii="Tahoma" w:hAnsi="Tahoma" w:cs="Tahoma"/>
          <w:i w:val="0"/>
          <w:sz w:val="24"/>
          <w:szCs w:val="24"/>
          <w:lang w:val="ru-RU"/>
        </w:rPr>
        <w:t>32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DE143D" w:rsidRDefault="00D82214" w:rsidP="00DE143D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DE143D" w:rsidRPr="00DE143D">
        <w:rPr>
          <w:rFonts w:ascii="Tahoma" w:hAnsi="Tahoma" w:cs="Tahoma"/>
          <w:szCs w:val="24"/>
        </w:rPr>
        <w:t>ЦЭО (пл. Мончегорск).  ЦЭО СН. Установка и снятие ПЗУ, ремонт задвижки Ду800</w:t>
      </w:r>
      <w:r w:rsidR="00E83AC4" w:rsidRPr="00DE143D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916F4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 xml:space="preserve">Мурманская </w:t>
      </w:r>
      <w:r w:rsidRPr="00916F41">
        <w:rPr>
          <w:rFonts w:ascii="Tahoma" w:hAnsi="Tahoma" w:cs="Tahoma"/>
          <w:szCs w:val="24"/>
        </w:rPr>
        <w:t xml:space="preserve">область, </w:t>
      </w:r>
      <w:r w:rsidR="009B1D8E" w:rsidRPr="00916F41">
        <w:rPr>
          <w:rFonts w:ascii="Tahoma" w:hAnsi="Tahoma" w:cs="Tahoma"/>
          <w:szCs w:val="24"/>
        </w:rPr>
        <w:t xml:space="preserve">г. </w:t>
      </w:r>
      <w:r w:rsidR="004F3E7F" w:rsidRPr="00916F41">
        <w:rPr>
          <w:rFonts w:ascii="Tahoma" w:hAnsi="Tahoma" w:cs="Tahoma"/>
          <w:szCs w:val="24"/>
        </w:rPr>
        <w:t>Мончегорск</w:t>
      </w:r>
      <w:r w:rsidR="00AE6B42" w:rsidRPr="00916F41">
        <w:rPr>
          <w:rFonts w:ascii="Tahoma" w:hAnsi="Tahoma" w:cs="Tahoma"/>
          <w:szCs w:val="24"/>
        </w:rPr>
        <w:t xml:space="preserve">, </w:t>
      </w:r>
      <w:r w:rsidR="0051351D" w:rsidRPr="00916F41">
        <w:rPr>
          <w:rFonts w:ascii="Tahoma" w:hAnsi="Tahoma" w:cs="Tahoma"/>
          <w:szCs w:val="24"/>
        </w:rPr>
        <w:t>ЦЭ</w:t>
      </w:r>
      <w:r w:rsidR="00DE143D" w:rsidRPr="00916F41">
        <w:rPr>
          <w:rFonts w:ascii="Tahoma" w:hAnsi="Tahoma" w:cs="Tahoma"/>
          <w:szCs w:val="24"/>
        </w:rPr>
        <w:t>О</w:t>
      </w:r>
      <w:r w:rsidR="0051351D" w:rsidRPr="00916F41">
        <w:rPr>
          <w:rFonts w:ascii="Tahoma" w:hAnsi="Tahoma" w:cs="Tahoma"/>
          <w:szCs w:val="24"/>
        </w:rPr>
        <w:t>;</w:t>
      </w:r>
      <w:r w:rsidRPr="00916F41">
        <w:rPr>
          <w:rFonts w:ascii="Tahoma" w:hAnsi="Tahoma" w:cs="Tahoma"/>
          <w:szCs w:val="24"/>
        </w:rPr>
        <w:t xml:space="preserve"> </w:t>
      </w:r>
    </w:p>
    <w:p w:rsidR="00536300" w:rsidRPr="00916F4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916F41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916F41">
        <w:rPr>
          <w:rFonts w:ascii="Tahoma" w:hAnsi="Tahoma" w:cs="Tahoma"/>
          <w:b/>
          <w:szCs w:val="24"/>
        </w:rPr>
        <w:t>Сроки выполнения работ/услуг:</w:t>
      </w:r>
      <w:r w:rsidR="0050270B" w:rsidRPr="00916F41">
        <w:rPr>
          <w:rFonts w:ascii="Tahoma" w:hAnsi="Tahoma" w:cs="Tahoma"/>
          <w:b/>
          <w:szCs w:val="24"/>
        </w:rPr>
        <w:t xml:space="preserve"> </w:t>
      </w:r>
      <w:r w:rsidR="003E3334" w:rsidRPr="00916F41">
        <w:rPr>
          <w:rFonts w:ascii="Tahoma" w:hAnsi="Tahoma" w:cs="Tahoma"/>
          <w:szCs w:val="24"/>
        </w:rPr>
        <w:t>с даты заключения договор</w:t>
      </w:r>
      <w:r w:rsidR="00DE143D" w:rsidRPr="00916F41">
        <w:rPr>
          <w:rFonts w:ascii="Tahoma" w:hAnsi="Tahoma" w:cs="Tahoma"/>
          <w:szCs w:val="24"/>
        </w:rPr>
        <w:t>а по</w:t>
      </w:r>
      <w:r w:rsidR="00E83AC4" w:rsidRPr="00916F41">
        <w:rPr>
          <w:rFonts w:ascii="Tahoma" w:hAnsi="Tahoma" w:cs="Tahoma"/>
          <w:szCs w:val="24"/>
        </w:rPr>
        <w:t xml:space="preserve"> 3</w:t>
      </w:r>
      <w:r w:rsidR="00916F41">
        <w:rPr>
          <w:rFonts w:ascii="Tahoma" w:hAnsi="Tahoma" w:cs="Tahoma"/>
          <w:szCs w:val="24"/>
        </w:rPr>
        <w:t>1</w:t>
      </w:r>
      <w:r w:rsidR="00E83AC4" w:rsidRPr="00916F41">
        <w:rPr>
          <w:rFonts w:ascii="Tahoma" w:hAnsi="Tahoma" w:cs="Tahoma"/>
          <w:szCs w:val="24"/>
        </w:rPr>
        <w:t>.</w:t>
      </w:r>
      <w:r w:rsidR="00EB1894" w:rsidRPr="00916F41">
        <w:rPr>
          <w:rFonts w:ascii="Tahoma" w:hAnsi="Tahoma" w:cs="Tahoma"/>
          <w:szCs w:val="24"/>
        </w:rPr>
        <w:t>0</w:t>
      </w:r>
      <w:r w:rsidR="00916F41">
        <w:rPr>
          <w:rFonts w:ascii="Tahoma" w:hAnsi="Tahoma" w:cs="Tahoma"/>
          <w:szCs w:val="24"/>
        </w:rPr>
        <w:t>8</w:t>
      </w:r>
      <w:r w:rsidR="00E83AC4" w:rsidRPr="00916F41">
        <w:rPr>
          <w:rFonts w:ascii="Tahoma" w:hAnsi="Tahoma" w:cs="Tahoma"/>
          <w:szCs w:val="24"/>
        </w:rPr>
        <w:t>.202</w:t>
      </w:r>
      <w:r w:rsidR="00FD49A1" w:rsidRPr="00916F41">
        <w:rPr>
          <w:rFonts w:ascii="Tahoma" w:hAnsi="Tahoma" w:cs="Tahoma"/>
          <w:szCs w:val="24"/>
        </w:rPr>
        <w:t>5</w:t>
      </w:r>
      <w:r w:rsidR="0050270B" w:rsidRPr="00916F41">
        <w:rPr>
          <w:rFonts w:ascii="Tahoma" w:hAnsi="Tahoma" w:cs="Tahoma"/>
          <w:szCs w:val="24"/>
        </w:rPr>
        <w:t>;</w:t>
      </w:r>
    </w:p>
    <w:p w:rsidR="00536300" w:rsidRPr="00916F41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916F41" w:rsidRDefault="00536300" w:rsidP="00DE143D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916F41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916F41">
        <w:rPr>
          <w:rFonts w:ascii="Tahoma" w:hAnsi="Tahoma" w:cs="Tahoma"/>
          <w:b/>
          <w:spacing w:val="-5"/>
          <w:szCs w:val="24"/>
        </w:rPr>
        <w:t xml:space="preserve"> </w:t>
      </w:r>
      <w:r w:rsidR="00E83AC4" w:rsidRPr="00916F41">
        <w:rPr>
          <w:rFonts w:ascii="Tahoma" w:hAnsi="Tahoma" w:cs="Tahoma"/>
          <w:spacing w:val="-5"/>
          <w:szCs w:val="24"/>
        </w:rPr>
        <w:t>в соответствии с ведомост</w:t>
      </w:r>
      <w:r w:rsidR="00F03A0F" w:rsidRPr="00916F41">
        <w:rPr>
          <w:rFonts w:ascii="Tahoma" w:hAnsi="Tahoma" w:cs="Tahoma"/>
          <w:spacing w:val="-5"/>
          <w:szCs w:val="24"/>
        </w:rPr>
        <w:t>ью</w:t>
      </w:r>
      <w:r w:rsidR="007D6E1B" w:rsidRPr="00916F41">
        <w:rPr>
          <w:rFonts w:ascii="Tahoma" w:hAnsi="Tahoma" w:cs="Tahoma"/>
          <w:spacing w:val="-5"/>
          <w:szCs w:val="24"/>
        </w:rPr>
        <w:t xml:space="preserve"> дефектов </w:t>
      </w:r>
      <w:r w:rsidR="002E247A" w:rsidRPr="00916F41">
        <w:rPr>
          <w:rFonts w:ascii="Tahoma" w:hAnsi="Tahoma" w:cs="Tahoma"/>
          <w:spacing w:val="-5"/>
          <w:szCs w:val="24"/>
        </w:rPr>
        <w:t>№</w:t>
      </w:r>
      <w:r w:rsidR="00DE143D" w:rsidRPr="00916F41">
        <w:rPr>
          <w:rFonts w:ascii="Tahoma" w:hAnsi="Tahoma" w:cs="Tahoma"/>
          <w:spacing w:val="-5"/>
          <w:szCs w:val="24"/>
        </w:rPr>
        <w:t>101100299179</w:t>
      </w:r>
      <w:r w:rsidR="00842F5F" w:rsidRPr="00916F41">
        <w:rPr>
          <w:rFonts w:ascii="Tahoma" w:hAnsi="Tahoma" w:cs="Tahoma"/>
          <w:spacing w:val="-5"/>
          <w:szCs w:val="24"/>
        </w:rPr>
        <w:t>;</w:t>
      </w:r>
    </w:p>
    <w:p w:rsidR="00782CD9" w:rsidRPr="00916F41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Default="00826BF3" w:rsidP="00F03A0F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DE143D">
        <w:rPr>
          <w:rFonts w:ascii="Tahoma" w:hAnsi="Tahoma" w:cs="Tahoma"/>
          <w:spacing w:val="-5"/>
          <w:szCs w:val="24"/>
        </w:rPr>
        <w:t>без МТР</w:t>
      </w:r>
      <w:r w:rsidR="00782CD9" w:rsidRPr="00F03A0F">
        <w:rPr>
          <w:rFonts w:ascii="Tahoma" w:hAnsi="Tahoma" w:cs="Tahoma"/>
          <w:spacing w:val="-5"/>
          <w:szCs w:val="24"/>
        </w:rPr>
        <w:t>;</w:t>
      </w:r>
    </w:p>
    <w:p w:rsidR="0051351D" w:rsidRPr="0051351D" w:rsidRDefault="0051351D" w:rsidP="0051351D">
      <w:pPr>
        <w:pStyle w:val="a3"/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9E1027" w:rsidRDefault="00D30486" w:rsidP="009E1027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DE143D">
        <w:rPr>
          <w:rFonts w:ascii="Tahoma" w:hAnsi="Tahoma" w:cs="Tahoma"/>
          <w:szCs w:val="24"/>
        </w:rPr>
        <w:t>Внутренняя работа в освобождённом помещении внутри емкости открытого типа в стеснённых условиях</w:t>
      </w:r>
      <w:r>
        <w:rPr>
          <w:rFonts w:ascii="Tahoma" w:hAnsi="Tahoma" w:cs="Tahoma"/>
          <w:szCs w:val="24"/>
        </w:rPr>
        <w:t>.</w:t>
      </w:r>
    </w:p>
    <w:p w:rsidR="00DE143D" w:rsidRDefault="00D30486" w:rsidP="009E1027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Работы выполняются с ис</w:t>
      </w:r>
      <w:r w:rsidR="00DE143D">
        <w:rPr>
          <w:rFonts w:ascii="Tahoma" w:hAnsi="Tahoma" w:cs="Tahoma"/>
          <w:szCs w:val="24"/>
        </w:rPr>
        <w:t xml:space="preserve">пользованием </w:t>
      </w:r>
      <w:r w:rsidR="00506757" w:rsidRPr="00506757">
        <w:rPr>
          <w:rFonts w:ascii="Tahoma" w:hAnsi="Tahoma" w:cs="Tahoma"/>
          <w:szCs w:val="24"/>
        </w:rPr>
        <w:t xml:space="preserve">устройства для экстренного и герметичного перекрытия </w:t>
      </w:r>
      <w:r w:rsidR="00506757">
        <w:rPr>
          <w:rFonts w:ascii="Tahoma" w:hAnsi="Tahoma" w:cs="Tahoma"/>
          <w:szCs w:val="24"/>
        </w:rPr>
        <w:t>трубопроводов диаметром до 800 мм (пневмозаглушка</w:t>
      </w:r>
      <w:r w:rsidR="00DE143D">
        <w:rPr>
          <w:rFonts w:ascii="Tahoma" w:hAnsi="Tahoma" w:cs="Tahoma"/>
          <w:szCs w:val="24"/>
        </w:rPr>
        <w:t xml:space="preserve"> ПЗУ</w:t>
      </w:r>
      <w:r w:rsidR="00506757">
        <w:rPr>
          <w:rFonts w:ascii="Tahoma" w:hAnsi="Tahoma" w:cs="Tahoma"/>
          <w:szCs w:val="24"/>
        </w:rPr>
        <w:t xml:space="preserve"> – </w:t>
      </w:r>
      <w:r w:rsidR="00DE143D">
        <w:rPr>
          <w:rFonts w:ascii="Tahoma" w:hAnsi="Tahoma" w:cs="Tahoma"/>
          <w:szCs w:val="24"/>
        </w:rPr>
        <w:t>пневматическое заглушающе</w:t>
      </w:r>
      <w:r w:rsidR="00DE143D" w:rsidRPr="00DE143D">
        <w:rPr>
          <w:rFonts w:ascii="Tahoma" w:hAnsi="Tahoma" w:cs="Tahoma"/>
          <w:szCs w:val="24"/>
        </w:rPr>
        <w:t>е устройств</w:t>
      </w:r>
      <w:r w:rsidR="00DE143D">
        <w:rPr>
          <w:rFonts w:ascii="Tahoma" w:hAnsi="Tahoma" w:cs="Tahoma"/>
          <w:szCs w:val="24"/>
        </w:rPr>
        <w:t>о).</w:t>
      </w:r>
    </w:p>
    <w:p w:rsidR="00D30486" w:rsidRDefault="00D30486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едомост</w:t>
      </w:r>
      <w:r w:rsidR="00013958">
        <w:rPr>
          <w:rFonts w:ascii="Tahoma" w:hAnsi="Tahoma" w:cs="Tahoma"/>
          <w:szCs w:val="24"/>
        </w:rPr>
        <w:t>ь</w:t>
      </w:r>
      <w:r w:rsidR="00C46882">
        <w:rPr>
          <w:rFonts w:ascii="Tahoma" w:hAnsi="Tahoma" w:cs="Tahoma"/>
          <w:szCs w:val="24"/>
        </w:rPr>
        <w:t xml:space="preserve"> дефектов</w:t>
      </w:r>
      <w:r w:rsidR="00C46882" w:rsidRPr="00140C1D">
        <w:rPr>
          <w:rFonts w:ascii="Tahoma" w:hAnsi="Tahoma" w:cs="Tahoma"/>
          <w:szCs w:val="24"/>
        </w:rPr>
        <w:t xml:space="preserve"> – в эл. виде;</w:t>
      </w:r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DF7106" w:rsidRDefault="00DF7106" w:rsidP="00DF710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Главный энергетик –</w:t>
      </w:r>
    </w:p>
    <w:p w:rsidR="00DF7106" w:rsidRDefault="00DF7106" w:rsidP="00DF710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Начальник Управления главного энергетика</w:t>
      </w:r>
    </w:p>
    <w:p w:rsidR="00DF7106" w:rsidRDefault="00DF7106" w:rsidP="00DF710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Департамента промышленных активов                                     А.А. Шишкин</w:t>
      </w:r>
    </w:p>
    <w:p w:rsidR="00CB4FD9" w:rsidRPr="00822554" w:rsidRDefault="00CB4FD9" w:rsidP="00DF7106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916" w:rsidRDefault="00020916" w:rsidP="00704156">
      <w:r>
        <w:separator/>
      </w:r>
    </w:p>
  </w:endnote>
  <w:endnote w:type="continuationSeparator" w:id="0">
    <w:p w:rsidR="00020916" w:rsidRDefault="00020916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916" w:rsidRDefault="00020916" w:rsidP="00704156">
      <w:r>
        <w:separator/>
      </w:r>
    </w:p>
  </w:footnote>
  <w:footnote w:type="continuationSeparator" w:id="0">
    <w:p w:rsidR="00020916" w:rsidRDefault="00020916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26B1"/>
    <w:rsid w:val="00012C5C"/>
    <w:rsid w:val="00013958"/>
    <w:rsid w:val="0001469E"/>
    <w:rsid w:val="00020916"/>
    <w:rsid w:val="0003045C"/>
    <w:rsid w:val="0003346F"/>
    <w:rsid w:val="000375A1"/>
    <w:rsid w:val="00050409"/>
    <w:rsid w:val="00063C2F"/>
    <w:rsid w:val="000662FC"/>
    <w:rsid w:val="0009070F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5AC5"/>
    <w:rsid w:val="000F734F"/>
    <w:rsid w:val="000F7B6E"/>
    <w:rsid w:val="00117CD2"/>
    <w:rsid w:val="00120D09"/>
    <w:rsid w:val="00124CCA"/>
    <w:rsid w:val="00133122"/>
    <w:rsid w:val="00137794"/>
    <w:rsid w:val="001417A5"/>
    <w:rsid w:val="001460EA"/>
    <w:rsid w:val="001468F3"/>
    <w:rsid w:val="00156BDC"/>
    <w:rsid w:val="00160583"/>
    <w:rsid w:val="00171516"/>
    <w:rsid w:val="00177ABA"/>
    <w:rsid w:val="00182CBE"/>
    <w:rsid w:val="00190DEB"/>
    <w:rsid w:val="00194610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792C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42F51"/>
    <w:rsid w:val="0025738F"/>
    <w:rsid w:val="00266A0B"/>
    <w:rsid w:val="00271322"/>
    <w:rsid w:val="002832CB"/>
    <w:rsid w:val="0028757C"/>
    <w:rsid w:val="00290CE1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2338"/>
    <w:rsid w:val="0030375B"/>
    <w:rsid w:val="00312406"/>
    <w:rsid w:val="0032046A"/>
    <w:rsid w:val="003357A9"/>
    <w:rsid w:val="003432E1"/>
    <w:rsid w:val="00343A7E"/>
    <w:rsid w:val="00363463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F1C07"/>
    <w:rsid w:val="003F3D8F"/>
    <w:rsid w:val="00407FF3"/>
    <w:rsid w:val="0041003D"/>
    <w:rsid w:val="004134A5"/>
    <w:rsid w:val="0042105A"/>
    <w:rsid w:val="0042373D"/>
    <w:rsid w:val="00423E16"/>
    <w:rsid w:val="00432980"/>
    <w:rsid w:val="00455B5E"/>
    <w:rsid w:val="0046590F"/>
    <w:rsid w:val="004669CB"/>
    <w:rsid w:val="00472C66"/>
    <w:rsid w:val="0047640F"/>
    <w:rsid w:val="00476FA4"/>
    <w:rsid w:val="00480B86"/>
    <w:rsid w:val="00482382"/>
    <w:rsid w:val="00485A39"/>
    <w:rsid w:val="00486D5D"/>
    <w:rsid w:val="00487F63"/>
    <w:rsid w:val="00492805"/>
    <w:rsid w:val="00494E9E"/>
    <w:rsid w:val="004A2DEF"/>
    <w:rsid w:val="004B0DA9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8B6"/>
    <w:rsid w:val="004F3E7F"/>
    <w:rsid w:val="0050270B"/>
    <w:rsid w:val="00502E3C"/>
    <w:rsid w:val="00506757"/>
    <w:rsid w:val="0051351D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31FD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A07"/>
    <w:rsid w:val="005B1B5C"/>
    <w:rsid w:val="005B31FB"/>
    <w:rsid w:val="005B3FF6"/>
    <w:rsid w:val="005B5653"/>
    <w:rsid w:val="005B6ED2"/>
    <w:rsid w:val="005D7596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7C27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7728"/>
    <w:rsid w:val="006F2D02"/>
    <w:rsid w:val="006F4ABE"/>
    <w:rsid w:val="006F758C"/>
    <w:rsid w:val="006F797A"/>
    <w:rsid w:val="0070068E"/>
    <w:rsid w:val="007026DE"/>
    <w:rsid w:val="00703B4A"/>
    <w:rsid w:val="00704156"/>
    <w:rsid w:val="00706E6A"/>
    <w:rsid w:val="00707969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C1B6F"/>
    <w:rsid w:val="007C3DC6"/>
    <w:rsid w:val="007C5707"/>
    <w:rsid w:val="007D6E1B"/>
    <w:rsid w:val="007E3228"/>
    <w:rsid w:val="007E36D6"/>
    <w:rsid w:val="007E58A8"/>
    <w:rsid w:val="007E7AF9"/>
    <w:rsid w:val="007F4577"/>
    <w:rsid w:val="007F681F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34A3D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D0920"/>
    <w:rsid w:val="008E566C"/>
    <w:rsid w:val="008E7BE0"/>
    <w:rsid w:val="008F4793"/>
    <w:rsid w:val="008F58FE"/>
    <w:rsid w:val="008F6A7E"/>
    <w:rsid w:val="009163FC"/>
    <w:rsid w:val="00916F41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86999"/>
    <w:rsid w:val="00992C11"/>
    <w:rsid w:val="0099498A"/>
    <w:rsid w:val="00997850"/>
    <w:rsid w:val="009B1D8E"/>
    <w:rsid w:val="009B2571"/>
    <w:rsid w:val="009C06AF"/>
    <w:rsid w:val="009C24B7"/>
    <w:rsid w:val="009C264B"/>
    <w:rsid w:val="009C2C06"/>
    <w:rsid w:val="009C3B40"/>
    <w:rsid w:val="009D4488"/>
    <w:rsid w:val="009E0097"/>
    <w:rsid w:val="009E1027"/>
    <w:rsid w:val="009F28F0"/>
    <w:rsid w:val="009F6111"/>
    <w:rsid w:val="00A00AE8"/>
    <w:rsid w:val="00A12358"/>
    <w:rsid w:val="00A14B2A"/>
    <w:rsid w:val="00A14CC2"/>
    <w:rsid w:val="00A152BB"/>
    <w:rsid w:val="00A17F1F"/>
    <w:rsid w:val="00A200AE"/>
    <w:rsid w:val="00A26525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132B"/>
    <w:rsid w:val="00A71AB0"/>
    <w:rsid w:val="00A72D1B"/>
    <w:rsid w:val="00A74098"/>
    <w:rsid w:val="00A82D1E"/>
    <w:rsid w:val="00A85E5C"/>
    <w:rsid w:val="00A93745"/>
    <w:rsid w:val="00A93FE5"/>
    <w:rsid w:val="00A9466C"/>
    <w:rsid w:val="00AB2730"/>
    <w:rsid w:val="00AB3EE0"/>
    <w:rsid w:val="00AC7119"/>
    <w:rsid w:val="00AD6898"/>
    <w:rsid w:val="00AE6B42"/>
    <w:rsid w:val="00AF27EB"/>
    <w:rsid w:val="00AF6B1F"/>
    <w:rsid w:val="00B070A9"/>
    <w:rsid w:val="00B07B61"/>
    <w:rsid w:val="00B1511D"/>
    <w:rsid w:val="00B17D0C"/>
    <w:rsid w:val="00B22C4A"/>
    <w:rsid w:val="00B32590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C12EE1"/>
    <w:rsid w:val="00C15301"/>
    <w:rsid w:val="00C166AD"/>
    <w:rsid w:val="00C22AE6"/>
    <w:rsid w:val="00C2722C"/>
    <w:rsid w:val="00C41D6F"/>
    <w:rsid w:val="00C43A9F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0486"/>
    <w:rsid w:val="00D32928"/>
    <w:rsid w:val="00D347B1"/>
    <w:rsid w:val="00D37F1B"/>
    <w:rsid w:val="00D45198"/>
    <w:rsid w:val="00D452C2"/>
    <w:rsid w:val="00D46AC5"/>
    <w:rsid w:val="00D51D06"/>
    <w:rsid w:val="00D64E0A"/>
    <w:rsid w:val="00D82214"/>
    <w:rsid w:val="00D8263F"/>
    <w:rsid w:val="00D87803"/>
    <w:rsid w:val="00D90F08"/>
    <w:rsid w:val="00D93811"/>
    <w:rsid w:val="00D95514"/>
    <w:rsid w:val="00D957CE"/>
    <w:rsid w:val="00D961C3"/>
    <w:rsid w:val="00DA0390"/>
    <w:rsid w:val="00DA2F47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143D"/>
    <w:rsid w:val="00DE4E13"/>
    <w:rsid w:val="00DF250F"/>
    <w:rsid w:val="00DF7106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4DB3"/>
    <w:rsid w:val="00EA75C4"/>
    <w:rsid w:val="00EB1894"/>
    <w:rsid w:val="00EB48A4"/>
    <w:rsid w:val="00EC0565"/>
    <w:rsid w:val="00EC2430"/>
    <w:rsid w:val="00EC7831"/>
    <w:rsid w:val="00ED2E6D"/>
    <w:rsid w:val="00ED7E76"/>
    <w:rsid w:val="00EE541A"/>
    <w:rsid w:val="00EF14AB"/>
    <w:rsid w:val="00EF27F2"/>
    <w:rsid w:val="00F02CE8"/>
    <w:rsid w:val="00F03A0F"/>
    <w:rsid w:val="00F07DED"/>
    <w:rsid w:val="00F167D4"/>
    <w:rsid w:val="00F20446"/>
    <w:rsid w:val="00F22B4F"/>
    <w:rsid w:val="00F24E2A"/>
    <w:rsid w:val="00F2777D"/>
    <w:rsid w:val="00F351CD"/>
    <w:rsid w:val="00F35BA6"/>
    <w:rsid w:val="00F35C46"/>
    <w:rsid w:val="00F43FA8"/>
    <w:rsid w:val="00F47460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AF7B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125</cp:revision>
  <cp:lastPrinted>2022-08-15T07:56:00Z</cp:lastPrinted>
  <dcterms:created xsi:type="dcterms:W3CDTF">2023-09-07T06:07:00Z</dcterms:created>
  <dcterms:modified xsi:type="dcterms:W3CDTF">2025-05-26T06:51:00Z</dcterms:modified>
</cp:coreProperties>
</file>