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767C39">
        <w:rPr>
          <w:rFonts w:ascii="Tahoma" w:hAnsi="Tahoma" w:cs="Tahoma"/>
          <w:b/>
        </w:rPr>
        <w:t xml:space="preserve"> </w:t>
      </w:r>
      <w:r w:rsidR="00767C39">
        <w:rPr>
          <w:rFonts w:ascii="Tahoma" w:hAnsi="Tahoma" w:cs="Tahoma"/>
          <w:b/>
          <w:szCs w:val="20"/>
        </w:rPr>
        <w:t>20047282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  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51161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647C1" w:rsidRPr="00251161" w:rsidRDefault="00767C39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67C39">
              <w:rPr>
                <w:rFonts w:ascii="Tahoma" w:hAnsi="Tahoma" w:cs="Tahoma"/>
              </w:rPr>
              <w:t>ХМЦ. Здание насосной для перекачки дренажных стоков. Ремонт кровли - 87м2, ХМЦ. ЗДАНИЕ РАСПРЕДЕЛИТЕЛЬНОЙ ПОДСТАНЦИИ РП-2. Ремонт здания по ЭПБ КГМК/203-2023-0076-738. Ремонт кровли 323 м.кв с МТР Подрядчика, в соответствии с набором работ № 103/285 ,103/088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251161" w:rsidRDefault="00DC762F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51161" w:rsidRDefault="00767C39" w:rsidP="00B10922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pacing w:val="-5"/>
              </w:rPr>
              <w:t>с даты заключения договора по 31.08.2025.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251161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Базис поставки</w:t>
            </w:r>
            <w:bookmarkStart w:id="0" w:name="_GoBack"/>
            <w:bookmarkEnd w:id="0"/>
          </w:p>
        </w:tc>
        <w:tc>
          <w:tcPr>
            <w:tcW w:w="2828" w:type="dxa"/>
            <w:shd w:val="clear" w:color="auto" w:fill="auto"/>
          </w:tcPr>
          <w:p w:rsidR="00767C39" w:rsidRPr="00767C39" w:rsidRDefault="00767C39" w:rsidP="00767C39">
            <w:pPr>
              <w:spacing w:after="0" w:line="240" w:lineRule="auto"/>
              <w:rPr>
                <w:rFonts w:ascii="Tahoma" w:hAnsi="Tahoma" w:cs="Tahoma"/>
              </w:rPr>
            </w:pPr>
            <w:r w:rsidRPr="00767C39">
              <w:rPr>
                <w:rFonts w:ascii="Tahoma" w:hAnsi="Tahoma" w:cs="Tahoma"/>
              </w:rPr>
              <w:t>Мурманская область, Мончегорск, ХМЦ. Здание насосной для перекачки дренажных стоков. инв. № 20015</w:t>
            </w:r>
          </w:p>
          <w:p w:rsidR="003647C1" w:rsidRPr="00251161" w:rsidRDefault="00767C39" w:rsidP="00767C39">
            <w:pPr>
              <w:spacing w:after="0" w:line="240" w:lineRule="auto"/>
              <w:rPr>
                <w:rFonts w:ascii="Tahoma" w:hAnsi="Tahoma" w:cs="Tahoma"/>
              </w:rPr>
            </w:pPr>
            <w:r w:rsidRPr="00767C39">
              <w:rPr>
                <w:rFonts w:ascii="Tahoma" w:hAnsi="Tahoma" w:cs="Tahoma"/>
              </w:rPr>
              <w:t>Мурманская область, Мончегорск, ХМЦ. ЗДАНИЕ РАСПРЕДЕЛИТЕЛЬНОЙ ПОДСТАНЦИИ РП-2. инв. № 60004.</w:t>
            </w:r>
          </w:p>
        </w:tc>
      </w:tr>
      <w:tr w:rsidR="003647C1" w:rsidRPr="00251161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F74671" w:rsidRPr="000311F2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57F51" w:rsidRPr="00251161">
              <w:rPr>
                <w:rFonts w:ascii="Tahoma" w:hAnsi="Tahoma" w:cs="Tahoma"/>
              </w:rPr>
              <w:t>Форма, условия и сроки оплаты.</w:t>
            </w:r>
            <w:r w:rsidR="00357F51" w:rsidRPr="00251161">
              <w:rPr>
                <w:rFonts w:ascii="Tahoma" w:hAnsi="Tahoma" w:cs="Tahoma"/>
              </w:rPr>
              <w:br/>
              <w:t xml:space="preserve"> </w:t>
            </w:r>
            <w:r w:rsidR="00F74671" w:rsidRPr="000311F2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311F2">
              <w:rPr>
                <w:rFonts w:ascii="Tahoma" w:hAnsi="Tahoma" w:cs="Tahoma"/>
              </w:rPr>
              <w:t>Без авансирования. Оплата выполненных работ осуществляется: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311F2">
              <w:rPr>
                <w:rFonts w:ascii="Tahoma" w:hAnsi="Tahoma" w:cs="Tahoma"/>
              </w:rPr>
              <w:t>- в размере 90% стоимости выполненных работ по смете в первый рабочий четверг после истечения 30 (тридцати) календарных дней от даты получения Заказчиком от Подрядчика оригиналов документов на оплату, выставленных на основании подписанных Сторонами актов выполненных работ за отчетный период;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 w:rsidRPr="000311F2">
              <w:rPr>
                <w:rFonts w:ascii="Tahoma" w:hAnsi="Tahoma" w:cs="Tahoma"/>
              </w:rPr>
              <w:t>- в размере 10% стоимости выполненных работ (гарантийное удержание) в первый рабочий четверг после истечения 30 (тридцати) календарных дней от даты получения Заказчиком</w:t>
            </w:r>
            <w:r w:rsidR="00851E4C" w:rsidRPr="000311F2">
              <w:rPr>
                <w:rFonts w:ascii="Tahoma" w:hAnsi="Tahoma" w:cs="Tahoma"/>
              </w:rPr>
              <w:t xml:space="preserve"> от Подрядчика </w:t>
            </w:r>
            <w:r w:rsidRPr="000311F2">
              <w:rPr>
                <w:rFonts w:ascii="Tahoma" w:hAnsi="Tahoma" w:cs="Tahoma"/>
              </w:rPr>
              <w:t>оригиналов документов на оплату, выставленных на основании подписанных Сторонами актов выполненных работ по всему объему работ.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F42787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251161" w:rsidRPr="00251161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lastRenderedPageBreak/>
              <w:t xml:space="preserve">- Согласие с условиями (в т.ч.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№7 к настоящему Приглашению</w:t>
            </w:r>
          </w:p>
          <w:p w:rsidR="00251161" w:rsidRDefault="00251161" w:rsidP="00B10922">
            <w:pPr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251161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251161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</w:p>
          <w:p w:rsidR="00AF7215" w:rsidRPr="00251161" w:rsidRDefault="00AF7215" w:rsidP="00B10922">
            <w:pPr>
              <w:jc w:val="both"/>
              <w:rPr>
                <w:rFonts w:ascii="Tahoma" w:hAnsi="Tahoma" w:cs="Tahoma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rPr>
                <w:rFonts w:ascii="Tahoma" w:hAnsi="Tahoma" w:cs="Tahoma"/>
                <w:sz w:val="22"/>
                <w:szCs w:val="22"/>
              </w:rPr>
            </w:pPr>
          </w:p>
          <w:p w:rsidR="00251161" w:rsidRPr="00251161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251161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251161" w:rsidRPr="0062439D" w:rsidRDefault="0062439D" w:rsidP="00B10922">
            <w:pPr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t>- Обязательное ознакомление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251161" w:rsidRDefault="00251161" w:rsidP="00B10922">
            <w:pPr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36C19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lastRenderedPageBreak/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D1635" w:rsidRDefault="00DD1635" w:rsidP="00DD1635">
            <w:pPr>
              <w:spacing w:after="0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 xml:space="preserve">Указывать систему налогообложения (с НДС, либо без НДС, </w:t>
            </w:r>
          </w:p>
          <w:p w:rsidR="00836C19" w:rsidRPr="00DD1635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>для УСН также указывать ставку налогообложения)</w:t>
            </w:r>
          </w:p>
        </w:tc>
      </w:tr>
      <w:tr w:rsidR="008C27C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Готовность использовать Личный кабинет поставщика SRM Нор</w:t>
            </w:r>
            <w:r w:rsidR="008B0BF2" w:rsidRPr="00251161">
              <w:rPr>
                <w:rFonts w:ascii="Tahoma" w:hAnsi="Tahoma" w:cs="Tahoma"/>
                <w:sz w:val="22"/>
                <w:szCs w:val="22"/>
              </w:rPr>
              <w:t xml:space="preserve">никель при исполнении договоров </w:t>
            </w:r>
            <w:r w:rsidR="008B0BF2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Норникель»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251161" w:rsidRDefault="008C27C8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B0BF2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</w:t>
            </w:r>
            <w:r w:rsidR="006E621F" w:rsidRPr="0025116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E621F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142FAF" w:rsidP="00B10922">
            <w:pPr>
              <w:jc w:val="both"/>
              <w:rPr>
                <w:rFonts w:ascii="Tahoma" w:hAnsi="Tahoma" w:cs="Tahoma"/>
              </w:rPr>
            </w:pPr>
            <w:hyperlink r:id="rId15" w:anchor="edo" w:history="1">
              <w:r w:rsidR="008B0BF2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C27C8" w:rsidRPr="00251161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2D11F4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t xml:space="preserve">Срок действия КП/ТКП </w:t>
            </w:r>
          </w:p>
          <w:p w:rsidR="002D11F4" w:rsidRPr="002D11F4" w:rsidRDefault="002D11F4" w:rsidP="00B10922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251161" w:rsidRDefault="00C675FC" w:rsidP="002511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 xml:space="preserve">действуют добросовестно, обладают надлежащей деловой репутацией, </w:t>
      </w:r>
      <w:r w:rsidRPr="005B6D17">
        <w:rPr>
          <w:rFonts w:ascii="Tahoma" w:hAnsi="Tahoma" w:cs="Tahoma"/>
        </w:rPr>
        <w:lastRenderedPageBreak/>
        <w:t>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 xml:space="preserve">) будет внесен/-но  в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Pr="00520FE2" w:rsidRDefault="0072331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(Пос</w:t>
      </w:r>
      <w:r w:rsidR="007F7016">
        <w:rPr>
          <w:rFonts w:ascii="Tahoma" w:hAnsi="Tahoma" w:cs="Tahoma"/>
          <w:b/>
        </w:rPr>
        <w:t xml:space="preserve">тавщик)   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FAF" w:rsidRDefault="00142FAF" w:rsidP="00EF71FD">
      <w:pPr>
        <w:spacing w:after="0" w:line="240" w:lineRule="auto"/>
      </w:pPr>
      <w:r>
        <w:separator/>
      </w:r>
    </w:p>
  </w:endnote>
  <w:endnote w:type="continuationSeparator" w:id="0">
    <w:p w:rsidR="00142FAF" w:rsidRDefault="00142FAF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FAF" w:rsidRDefault="00142FAF" w:rsidP="00EF71FD">
      <w:pPr>
        <w:spacing w:after="0" w:line="240" w:lineRule="auto"/>
      </w:pPr>
      <w:r>
        <w:separator/>
      </w:r>
    </w:p>
  </w:footnote>
  <w:footnote w:type="continuationSeparator" w:id="0">
    <w:p w:rsidR="00142FAF" w:rsidRDefault="00142FAF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2FAF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315454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67C39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27634"/>
    <w:rsid w:val="00A316F8"/>
    <w:rsid w:val="00A359A0"/>
    <w:rsid w:val="00A437F2"/>
    <w:rsid w:val="00A507D8"/>
    <w:rsid w:val="00A525A1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362550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CB16E-693B-401E-A53E-32218FF43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1509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Супрунюк Евгений Владимирович</cp:lastModifiedBy>
  <cp:revision>250</cp:revision>
  <cp:lastPrinted>2017-12-05T13:43:00Z</cp:lastPrinted>
  <dcterms:created xsi:type="dcterms:W3CDTF">2017-02-22T08:31:00Z</dcterms:created>
  <dcterms:modified xsi:type="dcterms:W3CDTF">2025-06-26T10:53:00Z</dcterms:modified>
</cp:coreProperties>
</file>