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 xml:space="preserve">Приглашение к участию в Закупочной </w:t>
      </w:r>
      <w:r w:rsidRPr="006F05FC">
        <w:rPr>
          <w:rFonts w:ascii="Tahoma" w:hAnsi="Tahoma" w:cs="Tahoma"/>
          <w:b/>
          <w:szCs w:val="20"/>
        </w:rPr>
        <w:t>процедуре</w:t>
      </w:r>
      <w:bookmarkEnd w:id="0"/>
      <w:bookmarkEnd w:id="1"/>
      <w:r w:rsidR="00C62D09" w:rsidRPr="006F05FC">
        <w:rPr>
          <w:rFonts w:ascii="Tahoma" w:hAnsi="Tahoma" w:cs="Tahoma"/>
          <w:b/>
          <w:szCs w:val="20"/>
        </w:rPr>
        <w:t xml:space="preserve"> №</w:t>
      </w:r>
      <w:r w:rsidR="006F05FC" w:rsidRPr="006F05FC">
        <w:t xml:space="preserve"> </w:t>
      </w:r>
      <w:r w:rsidR="006F05FC" w:rsidRPr="006F05FC">
        <w:rPr>
          <w:rFonts w:ascii="Tahoma" w:hAnsi="Tahoma" w:cs="Tahoma"/>
          <w:b/>
          <w:szCs w:val="20"/>
        </w:rPr>
        <w:t>20047282</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6437EF" w:rsidP="004A1F95">
            <w:pPr>
              <w:pStyle w:val="af0"/>
              <w:jc w:val="both"/>
              <w:rPr>
                <w:rFonts w:ascii="Tahoma" w:hAnsi="Tahoma" w:cs="Tahoma"/>
                <w:i w:val="0"/>
                <w:sz w:val="22"/>
                <w:szCs w:val="22"/>
                <w:lang w:val="ru-RU"/>
              </w:rPr>
            </w:pPr>
            <w:r w:rsidRPr="006437EF">
              <w:rPr>
                <w:rFonts w:ascii="Tahoma" w:hAnsi="Tahoma" w:cs="Tahoma"/>
                <w:i w:val="0"/>
                <w:sz w:val="22"/>
                <w:szCs w:val="22"/>
                <w:lang w:val="ru-RU"/>
              </w:rPr>
              <w:t>ХМЦ. Здание насосной для перекачки дренажных стоков. Ремонт кровли - 87м2</w:t>
            </w:r>
            <w:r w:rsidR="004A1F95">
              <w:rPr>
                <w:rFonts w:ascii="Tahoma" w:hAnsi="Tahoma" w:cs="Tahoma"/>
                <w:i w:val="0"/>
                <w:sz w:val="22"/>
                <w:szCs w:val="22"/>
                <w:lang w:val="ru-RU"/>
              </w:rPr>
              <w:t xml:space="preserve">, </w:t>
            </w:r>
            <w:r w:rsidR="004A1F95" w:rsidRPr="004A1F95">
              <w:rPr>
                <w:rFonts w:ascii="Tahoma" w:hAnsi="Tahoma" w:cs="Tahoma"/>
                <w:i w:val="0"/>
                <w:sz w:val="22"/>
                <w:szCs w:val="22"/>
                <w:lang w:val="ru-RU"/>
              </w:rPr>
              <w:t>ХМЦ. ЗДАНИЕ РАСПРЕДЕЛИТЕЛЬНОЙ ПОДСТАНЦИИ РП-2. Ремонт здания по ЭПБ КГМК/203-2023-0076-738. Ремонт кровли 323 м.кв</w:t>
            </w:r>
            <w:r>
              <w:rPr>
                <w:rFonts w:ascii="Tahoma" w:hAnsi="Tahoma" w:cs="Tahoma"/>
                <w:i w:val="0"/>
                <w:sz w:val="22"/>
                <w:szCs w:val="22"/>
                <w:lang w:val="ru-RU"/>
              </w:rPr>
              <w:t xml:space="preserve"> </w:t>
            </w:r>
            <w:r w:rsidR="007308D7" w:rsidRPr="007308D7">
              <w:rPr>
                <w:rFonts w:ascii="Tahoma" w:hAnsi="Tahoma" w:cs="Tahoma"/>
                <w:i w:val="0"/>
                <w:sz w:val="22"/>
                <w:szCs w:val="22"/>
                <w:lang w:val="ru-RU"/>
              </w:rPr>
              <w:t xml:space="preserve">с МТР Подрядчика, в соответствии с </w:t>
            </w:r>
            <w:r w:rsidR="004A1F95">
              <w:rPr>
                <w:rFonts w:ascii="Tahoma" w:hAnsi="Tahoma" w:cs="Tahoma"/>
                <w:i w:val="0"/>
                <w:sz w:val="22"/>
                <w:szCs w:val="22"/>
                <w:lang w:val="ru-RU"/>
              </w:rPr>
              <w:t>набором работ № 103/285 ,</w:t>
            </w:r>
            <w:r w:rsidR="004A1F95" w:rsidRPr="004A1F95">
              <w:rPr>
                <w:rFonts w:ascii="Tahoma" w:hAnsi="Tahoma" w:cs="Tahoma"/>
                <w:i w:val="0"/>
                <w:sz w:val="22"/>
                <w:szCs w:val="22"/>
                <w:lang w:val="ru-RU"/>
              </w:rPr>
              <w:t>103/088</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Default="006437EF" w:rsidP="009145A8">
            <w:pPr>
              <w:spacing w:after="0" w:line="240" w:lineRule="auto"/>
              <w:jc w:val="both"/>
              <w:rPr>
                <w:rFonts w:ascii="Tahoma" w:hAnsi="Tahoma" w:cs="Tahoma"/>
              </w:rPr>
            </w:pPr>
            <w:r w:rsidRPr="006437EF">
              <w:rPr>
                <w:rFonts w:ascii="Tahoma" w:hAnsi="Tahoma" w:cs="Tahoma"/>
              </w:rPr>
              <w:t>Мурманская область, Мончегорск, ХМЦ. Здание насосной для перекачки</w:t>
            </w:r>
            <w:r>
              <w:rPr>
                <w:rFonts w:ascii="Tahoma" w:hAnsi="Tahoma" w:cs="Tahoma"/>
              </w:rPr>
              <w:t xml:space="preserve"> дренажных стоков. инв. № 20015</w:t>
            </w:r>
          </w:p>
          <w:p w:rsidR="004A1F95" w:rsidRPr="00731564" w:rsidRDefault="004A1F95" w:rsidP="009145A8">
            <w:pPr>
              <w:spacing w:after="0" w:line="240" w:lineRule="auto"/>
              <w:jc w:val="both"/>
              <w:rPr>
                <w:rFonts w:ascii="Tahoma" w:hAnsi="Tahoma" w:cs="Tahoma"/>
              </w:rPr>
            </w:pPr>
            <w:r w:rsidRPr="004A1F95">
              <w:rPr>
                <w:rFonts w:ascii="Tahoma" w:hAnsi="Tahoma" w:cs="Tahoma"/>
              </w:rPr>
              <w:t>Мурманская область, Мончегорск, ХМЦ. ЗДАНИЕ РАСПРЕДЕЛИТЕЛЬНОЙ ПОДСТАНЦИИ РП-2. инв. № 60004.</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A1F07" w:rsidRPr="00D73165" w:rsidRDefault="005A1F07" w:rsidP="009145A8">
            <w:pPr>
              <w:spacing w:after="0" w:line="240" w:lineRule="auto"/>
              <w:jc w:val="both"/>
              <w:rPr>
                <w:rFonts w:ascii="Tahoma" w:hAnsi="Tahoma" w:cs="Tahoma"/>
              </w:rPr>
            </w:pPr>
            <w:r w:rsidRPr="00D73165">
              <w:rPr>
                <w:rFonts w:ascii="Tahoma" w:hAnsi="Tahoma" w:cs="Tahoma"/>
              </w:rPr>
              <w:t>Расчеты осуществляются в безналичной форме.</w:t>
            </w:r>
          </w:p>
          <w:p w:rsidR="005A1F07" w:rsidRPr="00D73165" w:rsidRDefault="005A1F07" w:rsidP="009145A8">
            <w:pPr>
              <w:spacing w:after="0" w:line="240" w:lineRule="auto"/>
              <w:jc w:val="both"/>
              <w:rPr>
                <w:rFonts w:ascii="Tahoma" w:hAnsi="Tahoma" w:cs="Tahoma"/>
              </w:rPr>
            </w:pPr>
            <w:r w:rsidRPr="00D73165">
              <w:rPr>
                <w:rFonts w:ascii="Tahoma" w:hAnsi="Tahoma" w:cs="Tahoma"/>
              </w:rPr>
              <w:t>Без авансирования. Оплата выполненных работ осуществляется:</w:t>
            </w:r>
          </w:p>
          <w:p w:rsidR="005A1F07" w:rsidRPr="00D73165" w:rsidRDefault="005A1F07" w:rsidP="009145A8">
            <w:pPr>
              <w:spacing w:after="0" w:line="240" w:lineRule="auto"/>
              <w:jc w:val="both"/>
              <w:rPr>
                <w:rFonts w:ascii="Tahoma" w:hAnsi="Tahoma" w:cs="Tahoma"/>
              </w:rPr>
            </w:pPr>
            <w:r w:rsidRPr="00D73165">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D73165">
              <w:rPr>
                <w:rFonts w:ascii="Tahoma" w:hAnsi="Tahoma" w:cs="Tahoma"/>
              </w:rPr>
              <w:t xml:space="preserve"> оригиналов</w:t>
            </w:r>
            <w:r w:rsidRPr="00D73165">
              <w:rPr>
                <w:rFonts w:ascii="Tahoma" w:hAnsi="Tahoma" w:cs="Tahoma"/>
              </w:rPr>
              <w:t xml:space="preserve"> документов на оплату, выставленных на основании подписанных Сторонами актов выполненных работ за отчетный период;</w:t>
            </w:r>
          </w:p>
          <w:p w:rsidR="000F3F9C" w:rsidRPr="00D73165" w:rsidRDefault="005A1F07" w:rsidP="009145A8">
            <w:pPr>
              <w:spacing w:after="0" w:line="240" w:lineRule="auto"/>
              <w:jc w:val="both"/>
              <w:rPr>
                <w:rFonts w:ascii="Tahoma" w:hAnsi="Tahoma" w:cs="Tahoma"/>
                <w:i/>
              </w:rPr>
            </w:pPr>
            <w:r w:rsidRPr="00D73165">
              <w:rPr>
                <w:rFonts w:ascii="Tahoma" w:hAnsi="Tahoma" w:cs="Tahoma"/>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D73165">
              <w:rPr>
                <w:rFonts w:ascii="Tahoma" w:hAnsi="Tahoma" w:cs="Tahoma"/>
              </w:rPr>
              <w:t xml:space="preserve">от Подрядчика </w:t>
            </w:r>
            <w:r w:rsidR="00170850" w:rsidRPr="00D73165">
              <w:rPr>
                <w:rFonts w:ascii="Tahoma" w:hAnsi="Tahoma" w:cs="Tahoma"/>
              </w:rPr>
              <w:t xml:space="preserve">оригиналов </w:t>
            </w:r>
            <w:r w:rsidRPr="00D73165">
              <w:rPr>
                <w:rFonts w:ascii="Tahoma" w:hAnsi="Tahoma" w:cs="Tahoma"/>
              </w:rPr>
              <w:t>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6437EF" w:rsidRDefault="004A1F95" w:rsidP="006437EF">
            <w:pPr>
              <w:rPr>
                <w:rFonts w:ascii="Tahoma" w:hAnsi="Tahoma" w:cs="Tahoma"/>
                <w:b/>
                <w:spacing w:val="-5"/>
              </w:rPr>
            </w:pPr>
            <w:r w:rsidRPr="004A1F95">
              <w:rPr>
                <w:rFonts w:ascii="Tahoma" w:hAnsi="Tahoma" w:cs="Tahoma"/>
                <w:b/>
                <w:spacing w:val="-5"/>
              </w:rPr>
              <w:t>с даты заключения договора по 31.08.2025.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3A6DE0">
              <w:rPr>
                <w:rFonts w:ascii="Tahoma" w:hAnsi="Tahoma" w:cs="Tahoma"/>
                <w:spacing w:val="-5"/>
              </w:rPr>
              <w:t>Согласие с условиями проекта договора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C10D5B" w:rsidRPr="005B4735" w:rsidRDefault="00C10D5B" w:rsidP="009145A8">
            <w:pPr>
              <w:spacing w:after="0" w:line="240" w:lineRule="auto"/>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размещенных на сайте </w:t>
            </w:r>
            <w:hyperlink r:id="rId9" w:history="1">
              <w:r w:rsidRPr="005B4735">
                <w:rPr>
                  <w:rStyle w:val="a5"/>
                  <w:rFonts w:ascii="Tahoma" w:hAnsi="Tahoma" w:cs="Tahoma"/>
                </w:rPr>
                <w:t>https://www.kolagmk.ru/suppliers/how-to-become-a-supplier/</w:t>
              </w:r>
            </w:hyperlink>
            <w:r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9145A8">
            <w:pPr>
              <w:jc w:val="both"/>
              <w:rPr>
                <w:rFonts w:ascii="Tahoma" w:eastAsia="Times New Roman" w:hAnsi="Tahoma" w:cs="Tahoma"/>
                <w:color w:val="0000FF"/>
                <w:u w:val="single"/>
              </w:rPr>
            </w:pPr>
            <w:r>
              <w:rPr>
                <w:rFonts w:ascii="Tahoma" w:hAnsi="Tahoma" w:cs="Tahoma"/>
              </w:rPr>
              <w:t>- Обязательное ознакомление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lastRenderedPageBreak/>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lastRenderedPageBreak/>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lastRenderedPageBreak/>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2C2F68"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4A1F95" w:rsidP="004A1F95">
      <w:pPr>
        <w:pStyle w:val="ae"/>
        <w:numPr>
          <w:ilvl w:val="0"/>
          <w:numId w:val="16"/>
        </w:numPr>
        <w:rPr>
          <w:rFonts w:ascii="Tahoma" w:hAnsi="Tahoma" w:cs="Tahoma"/>
          <w:sz w:val="22"/>
          <w:szCs w:val="22"/>
        </w:rPr>
      </w:pPr>
      <w:r>
        <w:rPr>
          <w:rFonts w:ascii="Tahoma" w:hAnsi="Tahoma" w:cs="Tahoma"/>
          <w:sz w:val="22"/>
          <w:szCs w:val="22"/>
        </w:rPr>
        <w:t>Набор работ № 103285 ,</w:t>
      </w:r>
      <w:r w:rsidRPr="004A1F95">
        <w:rPr>
          <w:rFonts w:ascii="Tahoma" w:hAnsi="Tahoma" w:cs="Tahoma"/>
          <w:sz w:val="22"/>
          <w:szCs w:val="22"/>
        </w:rPr>
        <w:t>103088</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8317D0"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5E4FCB" w:rsidRDefault="005E4FCB" w:rsidP="005E4FCB">
      <w:pPr>
        <w:pStyle w:val="ae"/>
        <w:numPr>
          <w:ilvl w:val="0"/>
          <w:numId w:val="16"/>
        </w:numPr>
        <w:rPr>
          <w:rFonts w:ascii="Tahoma" w:hAnsi="Tahoma" w:cs="Tahoma"/>
          <w:color w:val="000000"/>
          <w:sz w:val="22"/>
          <w:szCs w:val="22"/>
        </w:rPr>
      </w:pPr>
      <w:r w:rsidRPr="005E4FCB">
        <w:rPr>
          <w:rFonts w:ascii="Tahoma" w:hAnsi="Tahoma" w:cs="Tahoma"/>
          <w:color w:val="000000"/>
          <w:sz w:val="22"/>
          <w:szCs w:val="22"/>
        </w:rPr>
        <w:t>Декларация участника закупочной процедуры</w:t>
      </w:r>
      <w:r>
        <w:rPr>
          <w:rFonts w:ascii="Tahoma" w:hAnsi="Tahoma" w:cs="Tahoma"/>
          <w:color w:val="000000"/>
          <w:sz w:val="22"/>
          <w:szCs w:val="22"/>
        </w:rPr>
        <w:t>.</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w:t>
      </w:r>
      <w:bookmarkStart w:id="2" w:name="_GoBack"/>
      <w:bookmarkEnd w:id="2"/>
      <w:r w:rsidRPr="00731564">
        <w:rPr>
          <w:rFonts w:ascii="Tahoma" w:hAnsi="Tahoma" w:cs="Tahoma"/>
        </w:rPr>
        <w:t>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w:t>
      </w:r>
      <w:r w:rsidR="003D6BCF" w:rsidRPr="00731564">
        <w:rPr>
          <w:rFonts w:ascii="Tahoma" w:hAnsi="Tahoma" w:cs="Tahoma"/>
        </w:rPr>
        <w:lastRenderedPageBreak/>
        <w:t>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F68" w:rsidRDefault="002C2F68" w:rsidP="00EF71FD">
      <w:pPr>
        <w:spacing w:after="0" w:line="240" w:lineRule="auto"/>
      </w:pPr>
      <w:r>
        <w:separator/>
      </w:r>
    </w:p>
  </w:endnote>
  <w:endnote w:type="continuationSeparator" w:id="0">
    <w:p w:rsidR="002C2F68" w:rsidRDefault="002C2F68"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5E4FCB">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2C2F68"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2C2F6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2C2F6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F68" w:rsidRDefault="002C2F68" w:rsidP="00EF71FD">
      <w:pPr>
        <w:spacing w:after="0" w:line="240" w:lineRule="auto"/>
      </w:pPr>
      <w:r>
        <w:separator/>
      </w:r>
    </w:p>
  </w:footnote>
  <w:footnote w:type="continuationSeparator" w:id="0">
    <w:p w:rsidR="002C2F68" w:rsidRDefault="002C2F68"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2F68"/>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1123"/>
    <w:rsid w:val="00491398"/>
    <w:rsid w:val="004956BC"/>
    <w:rsid w:val="004A1F95"/>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E4FCB"/>
    <w:rsid w:val="005F18A8"/>
    <w:rsid w:val="005F244D"/>
    <w:rsid w:val="005F51C4"/>
    <w:rsid w:val="00600DCC"/>
    <w:rsid w:val="0060104E"/>
    <w:rsid w:val="0061331F"/>
    <w:rsid w:val="00621815"/>
    <w:rsid w:val="00622AE4"/>
    <w:rsid w:val="00626A6A"/>
    <w:rsid w:val="00631FF5"/>
    <w:rsid w:val="00640B18"/>
    <w:rsid w:val="006437EF"/>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05FC"/>
    <w:rsid w:val="006F35C1"/>
    <w:rsid w:val="006F39CA"/>
    <w:rsid w:val="006F3CBD"/>
    <w:rsid w:val="007018BF"/>
    <w:rsid w:val="0070261A"/>
    <w:rsid w:val="00711CB3"/>
    <w:rsid w:val="00713CE3"/>
    <w:rsid w:val="00717BF6"/>
    <w:rsid w:val="00720D95"/>
    <w:rsid w:val="00723311"/>
    <w:rsid w:val="0072418A"/>
    <w:rsid w:val="00724F70"/>
    <w:rsid w:val="0073048F"/>
    <w:rsid w:val="007308D7"/>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B4C19"/>
    <w:rsid w:val="00BC1D9B"/>
    <w:rsid w:val="00BC41A6"/>
    <w:rsid w:val="00BC6158"/>
    <w:rsid w:val="00BC684D"/>
    <w:rsid w:val="00BC796F"/>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5B0434C"/>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4AFCC-40CC-4906-B654-CBF803957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2019</TotalTime>
  <Pages>4</Pages>
  <Words>1498</Words>
  <Characters>8541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358</cp:revision>
  <cp:lastPrinted>2019-09-05T06:23:00Z</cp:lastPrinted>
  <dcterms:created xsi:type="dcterms:W3CDTF">2017-01-28T10:50:00Z</dcterms:created>
  <dcterms:modified xsi:type="dcterms:W3CDTF">2025-06-26T10:55:00Z</dcterms:modified>
</cp:coreProperties>
</file>