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085" w:rsidRPr="00CC4085" w:rsidRDefault="00CC4085" w:rsidP="00CC4085">
      <w:pPr>
        <w:pStyle w:val="a3"/>
        <w:numPr>
          <w:ilvl w:val="0"/>
          <w:numId w:val="2"/>
        </w:numPr>
        <w:spacing w:after="5" w:line="240" w:lineRule="auto"/>
        <w:ind w:hanging="10"/>
        <w:jc w:val="both"/>
        <w:rPr>
          <w:rFonts w:ascii="Tahoma" w:hAnsi="Tahoma" w:cs="Tahoma"/>
          <w:b/>
          <w:sz w:val="24"/>
          <w:szCs w:val="24"/>
        </w:rPr>
      </w:pPr>
      <w:r w:rsidRPr="00CC4085">
        <w:rPr>
          <w:rFonts w:ascii="Tahoma" w:hAnsi="Tahoma" w:cs="Tahoma"/>
          <w:b/>
        </w:rPr>
        <w:t>Телефон службы поддержки системы SAP SRM: +7 (495) 783-00-45, доб. 6 (для Москвы); 8 (800) 700-59-11, доб. 6 (бесплатный федеральный номер).</w:t>
      </w:r>
    </w:p>
    <w:p w:rsidR="00CC4085" w:rsidRPr="00CC4085" w:rsidRDefault="00CC4085" w:rsidP="00CC4085">
      <w:pPr>
        <w:pStyle w:val="a3"/>
        <w:numPr>
          <w:ilvl w:val="0"/>
          <w:numId w:val="2"/>
        </w:numPr>
        <w:spacing w:after="227" w:line="240" w:lineRule="auto"/>
        <w:ind w:hanging="10"/>
        <w:jc w:val="both"/>
        <w:rPr>
          <w:rFonts w:ascii="Tahoma" w:hAnsi="Tahoma" w:cs="Tahoma"/>
          <w:b/>
          <w:sz w:val="20"/>
          <w:szCs w:val="20"/>
        </w:rPr>
      </w:pPr>
      <w:r w:rsidRPr="00CC4085">
        <w:rPr>
          <w:rFonts w:ascii="Tahoma" w:hAnsi="Tahoma" w:cs="Tahoma"/>
          <w:b/>
        </w:rPr>
        <w:t xml:space="preserve">Адрес электронной почты: </w:t>
      </w:r>
      <w:hyperlink r:id="rId5" w:history="1">
        <w:r w:rsidRPr="00CC4085">
          <w:rPr>
            <w:rStyle w:val="a5"/>
            <w:rFonts w:ascii="Tahoma" w:hAnsi="Tahoma" w:cs="Tahoma"/>
            <w:b/>
          </w:rPr>
          <w:t>suppliers@nornik.ru</w:t>
        </w:r>
      </w:hyperlink>
    </w:p>
    <w:p w:rsidR="000D1A72" w:rsidRPr="001C37AF" w:rsidRDefault="00855127" w:rsidP="001C37AF">
      <w:pPr>
        <w:jc w:val="center"/>
        <w:rPr>
          <w:b/>
          <w:sz w:val="28"/>
        </w:rPr>
      </w:pPr>
      <w:r w:rsidRPr="001C37AF">
        <w:rPr>
          <w:b/>
          <w:sz w:val="28"/>
        </w:rPr>
        <w:t xml:space="preserve">Памятка претендентам на участие в закупочных процедурах АО «Кольская ГМК» в системе </w:t>
      </w:r>
      <w:r w:rsidRPr="001C37AF">
        <w:rPr>
          <w:b/>
          <w:sz w:val="28"/>
          <w:lang w:val="en-US"/>
        </w:rPr>
        <w:t>SAP</w:t>
      </w:r>
      <w:r w:rsidRPr="001C37AF">
        <w:rPr>
          <w:b/>
          <w:sz w:val="28"/>
        </w:rPr>
        <w:t xml:space="preserve"> </w:t>
      </w:r>
      <w:r w:rsidRPr="001C37AF">
        <w:rPr>
          <w:b/>
          <w:sz w:val="28"/>
          <w:lang w:val="en-US"/>
        </w:rPr>
        <w:t>SRM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Сроки выполнения работ определяются техническим заданием и/или приглашением к участию в закупочной процедуре.</w:t>
      </w:r>
    </w:p>
    <w:p w:rsidR="00BE4D97" w:rsidRPr="00160996" w:rsidRDefault="00BE4D97" w:rsidP="00BE4D97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Требования к потенциальному участнику установлены приглашением к участию в закупочной процедуре/техническим заданием/квалификационными требованиями</w:t>
      </w:r>
      <w:r w:rsidR="007F7439" w:rsidRPr="00160996">
        <w:rPr>
          <w:rFonts w:ascii="Tahoma" w:hAnsi="Tahoma" w:cs="Tahoma"/>
        </w:rPr>
        <w:t>.</w:t>
      </w:r>
      <w:r w:rsidRPr="00160996">
        <w:rPr>
          <w:rFonts w:ascii="Tahoma" w:hAnsi="Tahoma" w:cs="Tahoma"/>
        </w:rPr>
        <w:t xml:space="preserve"> 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Подача заявок на участие осуществляется строго в системе SAP SRM по номеру конкурса.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Подача документов для участия в тендере осуществляется в следующем порядке:</w:t>
      </w:r>
    </w:p>
    <w:p w:rsidR="00307693" w:rsidRPr="00160996" w:rsidRDefault="00307693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- подача предложения производится по инструкции «</w:t>
      </w:r>
      <w:r w:rsidR="001C37AF" w:rsidRPr="00160996">
        <w:rPr>
          <w:rFonts w:ascii="Tahoma" w:hAnsi="Tahoma" w:cs="Tahoma"/>
        </w:rPr>
        <w:t>Инструкция участие в закупочных процедурах и подача предложений</w:t>
      </w:r>
      <w:r w:rsidRPr="00160996">
        <w:rPr>
          <w:rFonts w:ascii="Tahoma" w:hAnsi="Tahoma" w:cs="Tahoma"/>
        </w:rPr>
        <w:t>»</w:t>
      </w:r>
      <w:r w:rsidR="001C37AF" w:rsidRPr="00160996">
        <w:rPr>
          <w:rFonts w:ascii="Tahoma" w:hAnsi="Tahoma" w:cs="Tahoma"/>
        </w:rPr>
        <w:t>;</w:t>
      </w:r>
      <w:r w:rsidRPr="00160996">
        <w:rPr>
          <w:rFonts w:ascii="Tahoma" w:hAnsi="Tahoma" w:cs="Tahoma"/>
        </w:rPr>
        <w:t xml:space="preserve"> </w:t>
      </w:r>
    </w:p>
    <w:p w:rsidR="00855127" w:rsidRPr="00160996" w:rsidRDefault="0085512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- коммерческое предложение и расшифровки стоимости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«Коммерческое предложение» </w:t>
      </w:r>
    </w:p>
    <w:p w:rsidR="00855127" w:rsidRPr="00160996" w:rsidRDefault="0085512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- </w:t>
      </w:r>
      <w:r w:rsidR="001C37AF" w:rsidRPr="00160996">
        <w:rPr>
          <w:rFonts w:ascii="Tahoma" w:hAnsi="Tahoma" w:cs="Tahoma"/>
        </w:rPr>
        <w:t>Заявка на участие или техническое предложение вкладывае</w:t>
      </w:r>
      <w:r w:rsidRPr="00160996">
        <w:rPr>
          <w:rFonts w:ascii="Tahoma" w:hAnsi="Tahoma" w:cs="Tahoma"/>
        </w:rPr>
        <w:t xml:space="preserve">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</w:t>
      </w:r>
      <w:r w:rsidR="001C37AF" w:rsidRPr="00160996">
        <w:rPr>
          <w:rFonts w:ascii="Tahoma" w:hAnsi="Tahoma" w:cs="Tahoma"/>
        </w:rPr>
        <w:t>Техническое</w:t>
      </w:r>
      <w:r w:rsidRPr="00160996">
        <w:rPr>
          <w:rFonts w:ascii="Tahoma" w:hAnsi="Tahoma" w:cs="Tahoma"/>
        </w:rPr>
        <w:t xml:space="preserve"> предложение» </w:t>
      </w:r>
    </w:p>
    <w:p w:rsidR="001C37AF" w:rsidRPr="00160996" w:rsidRDefault="001C37AF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- документы, подтверждающие соответствие квалификационным требованиям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«Квалификационные документы»</w:t>
      </w:r>
      <w:r w:rsidR="00160996" w:rsidRPr="00160996">
        <w:rPr>
          <w:rFonts w:ascii="Tahoma" w:hAnsi="Tahoma" w:cs="Tahoma"/>
        </w:rPr>
        <w:t>.</w:t>
      </w:r>
      <w:r w:rsidRPr="00160996">
        <w:rPr>
          <w:rFonts w:ascii="Tahoma" w:hAnsi="Tahoma" w:cs="Tahoma"/>
        </w:rPr>
        <w:t xml:space="preserve"> </w:t>
      </w:r>
    </w:p>
    <w:p w:rsidR="00BE4D97" w:rsidRPr="00160996" w:rsidRDefault="00BE4D9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5. В случае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если </w:t>
      </w:r>
      <w:r w:rsidR="007F7439" w:rsidRPr="00160996">
        <w:rPr>
          <w:rFonts w:ascii="Tahoma" w:hAnsi="Tahoma" w:cs="Tahoma"/>
        </w:rPr>
        <w:t>предложение претенденто</w:t>
      </w:r>
      <w:r w:rsidR="00413686">
        <w:rPr>
          <w:rFonts w:ascii="Tahoma" w:hAnsi="Tahoma" w:cs="Tahoma"/>
        </w:rPr>
        <w:t>м предоставлено ненадлежащи</w:t>
      </w:r>
      <w:r w:rsidR="007F7439" w:rsidRPr="00160996">
        <w:rPr>
          <w:rFonts w:ascii="Tahoma" w:hAnsi="Tahoma" w:cs="Tahoma"/>
        </w:rPr>
        <w:t>м обр</w:t>
      </w:r>
      <w:r w:rsidR="00413686">
        <w:rPr>
          <w:rFonts w:ascii="Tahoma" w:hAnsi="Tahoma" w:cs="Tahoma"/>
        </w:rPr>
        <w:t xml:space="preserve">азом – имеет статус «Сохранено» – </w:t>
      </w:r>
      <w:r w:rsidR="007F7439" w:rsidRPr="00160996">
        <w:rPr>
          <w:rFonts w:ascii="Tahoma" w:hAnsi="Tahoma" w:cs="Tahoma"/>
        </w:rPr>
        <w:t>такое предложение учитываться не будет</w:t>
      </w:r>
      <w:r w:rsidR="00413686">
        <w:rPr>
          <w:rFonts w:ascii="Tahoma" w:hAnsi="Tahoma" w:cs="Tahoma"/>
        </w:rPr>
        <w:t>. В случае некорректной</w:t>
      </w:r>
      <w:r w:rsidR="007F7439" w:rsidRPr="00160996">
        <w:rPr>
          <w:rFonts w:ascii="Tahoma" w:hAnsi="Tahoma" w:cs="Tahoma"/>
        </w:rPr>
        <w:t xml:space="preserve"> подачи предложения система направляет уведомлени</w:t>
      </w:r>
      <w:r w:rsidR="00413686">
        <w:rPr>
          <w:rFonts w:ascii="Tahoma" w:hAnsi="Tahoma" w:cs="Tahoma"/>
        </w:rPr>
        <w:t>е претенденту</w:t>
      </w:r>
      <w:r w:rsidR="007F7439" w:rsidRPr="00160996">
        <w:rPr>
          <w:rFonts w:ascii="Tahoma" w:hAnsi="Tahoma" w:cs="Tahoma"/>
        </w:rPr>
        <w:t xml:space="preserve"> о том, что его предложение подано не до конца. Предложение считается поданным, когда имеет статус «Представлено»/ «Подано».</w:t>
      </w:r>
    </w:p>
    <w:p w:rsidR="007F7439" w:rsidRPr="00160996" w:rsidRDefault="007F7439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6. По окончанию срока подачи заявок</w:t>
      </w:r>
      <w:r w:rsidR="00F24054" w:rsidRPr="00160996">
        <w:rPr>
          <w:rFonts w:ascii="Tahoma" w:hAnsi="Tahoma" w:cs="Tahoma"/>
        </w:rPr>
        <w:t xml:space="preserve"> предложения на участие и иные документы не принимаются. В случае отсутствия документов, указанных в п.4</w:t>
      </w:r>
      <w:r w:rsidR="00413686">
        <w:rPr>
          <w:rFonts w:ascii="Tahoma" w:hAnsi="Tahoma" w:cs="Tahoma"/>
        </w:rPr>
        <w:t>, претендент к участию в тендере</w:t>
      </w:r>
      <w:r w:rsidR="00F24054" w:rsidRPr="00160996">
        <w:rPr>
          <w:rFonts w:ascii="Tahoma" w:hAnsi="Tahoma" w:cs="Tahoma"/>
        </w:rPr>
        <w:t xml:space="preserve"> не допускается.</w:t>
      </w:r>
    </w:p>
    <w:p w:rsidR="007F7439" w:rsidRDefault="007F7439" w:rsidP="001C37AF">
      <w:pPr>
        <w:pStyle w:val="a3"/>
        <w:jc w:val="both"/>
      </w:pPr>
    </w:p>
    <w:p w:rsidR="00935B62" w:rsidRDefault="00935B62" w:rsidP="00935B62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Примечание:</w:t>
      </w:r>
    </w:p>
    <w:p w:rsidR="00935B62" w:rsidRDefault="00935B62" w:rsidP="00935B6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Вкладка «Информация о конкурсе», раздел «Требования» </w:t>
      </w:r>
    </w:p>
    <w:p w:rsidR="00935B62" w:rsidRDefault="00935B62" w:rsidP="00935B62">
      <w:pPr>
        <w:pStyle w:val="a3"/>
        <w:jc w:val="both"/>
      </w:pPr>
      <w:r>
        <w:rPr>
          <w:sz w:val="23"/>
          <w:szCs w:val="23"/>
        </w:rPr>
        <w:t>Данная вкладка предназначена для просмотра требований, предъявляемых к участникам закупочной процедуры. Предоставить информацию о соответствии заявленным в закупочной процедуре требованиям, а также предоставить запрашиваемые организатором закупочной процедуры документы, участники имеют возможность при подаче предложения.</w:t>
      </w:r>
    </w:p>
    <w:p w:rsidR="00935B62" w:rsidRDefault="00935B62" w:rsidP="001C37AF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940425" cy="19888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8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1C37AF">
      <w:pPr>
        <w:pStyle w:val="a3"/>
        <w:jc w:val="both"/>
      </w:pPr>
    </w:p>
    <w:p w:rsidR="00CC4085" w:rsidRDefault="00935B62" w:rsidP="00935B62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</w:t>
      </w:r>
    </w:p>
    <w:p w:rsidR="00CC4085" w:rsidRDefault="00CC4085" w:rsidP="00935B62">
      <w:pPr>
        <w:pStyle w:val="Default"/>
        <w:rPr>
          <w:b/>
          <w:bCs/>
          <w:sz w:val="23"/>
          <w:szCs w:val="23"/>
        </w:rPr>
      </w:pPr>
    </w:p>
    <w:p w:rsidR="00935B62" w:rsidRDefault="00935B62" w:rsidP="00CC4085">
      <w:pPr>
        <w:pStyle w:val="Default"/>
        <w:ind w:firstLine="708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Вкладка «Позиции» </w:t>
      </w:r>
    </w:p>
    <w:p w:rsidR="00CC4085" w:rsidRDefault="00CC4085" w:rsidP="00CC4085">
      <w:pPr>
        <w:pStyle w:val="Default"/>
        <w:ind w:firstLine="708"/>
        <w:rPr>
          <w:sz w:val="23"/>
          <w:szCs w:val="23"/>
        </w:rPr>
      </w:pPr>
    </w:p>
    <w:p w:rsidR="00935B62" w:rsidRDefault="00935B62" w:rsidP="00935B62">
      <w:pPr>
        <w:pStyle w:val="a3"/>
        <w:jc w:val="both"/>
        <w:rPr>
          <w:sz w:val="23"/>
          <w:szCs w:val="23"/>
        </w:rPr>
      </w:pPr>
      <w:r>
        <w:rPr>
          <w:sz w:val="23"/>
          <w:szCs w:val="23"/>
        </w:rPr>
        <w:t>Данная Вкладка (Рисунок 23) предназначена для просмотра номенклатуры, в отношении которой проводится закупочная процедура. На уровне строки отражается информация о требуемом количестве и единицах измерения, сроках поставки и дополнительные примечания.</w:t>
      </w:r>
    </w:p>
    <w:p w:rsidR="00935B62" w:rsidRDefault="00935B62" w:rsidP="00935B62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940425" cy="306883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68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>Закупка номенклатуры в закупочной процедуре может быть осуществлена по отдельным позициям ((1) Рисунок 24) или по комплектам позиций объединенным в пакеты ((2) Рисунок 24). При активированном индикаторе «Пакет», при подаче предложения необходимо будет указать цену в сумме за все позиции для данного комплекта позиций номенклатуры ((3) Рисунок 24).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5481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5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CC4085" w:rsidRDefault="00935B62" w:rsidP="00935B62">
      <w:pPr>
        <w:pStyle w:val="Default"/>
      </w:pPr>
      <w:r>
        <w:lastRenderedPageBreak/>
        <w:t xml:space="preserve">          </w:t>
      </w:r>
    </w:p>
    <w:p w:rsidR="00CC4085" w:rsidRDefault="00CC4085" w:rsidP="00935B62">
      <w:pPr>
        <w:pStyle w:val="Default"/>
      </w:pPr>
    </w:p>
    <w:p w:rsidR="00CC4085" w:rsidRDefault="00CC4085" w:rsidP="00935B62">
      <w:pPr>
        <w:pStyle w:val="Default"/>
      </w:pPr>
    </w:p>
    <w:p w:rsidR="00935B62" w:rsidRDefault="00935B62" w:rsidP="00CC4085">
      <w:pPr>
        <w:pStyle w:val="Default"/>
        <w:ind w:firstLine="708"/>
        <w:rPr>
          <w:b/>
        </w:rPr>
      </w:pPr>
      <w:r w:rsidRPr="00935B62">
        <w:rPr>
          <w:b/>
        </w:rPr>
        <w:t xml:space="preserve">Раздел «Документы и приложения» </w:t>
      </w:r>
    </w:p>
    <w:p w:rsidR="00CC4085" w:rsidRPr="00935B62" w:rsidRDefault="00CC4085" w:rsidP="00CC4085">
      <w:pPr>
        <w:pStyle w:val="Default"/>
        <w:ind w:firstLine="708"/>
        <w:rPr>
          <w:b/>
        </w:rPr>
      </w:pPr>
    </w:p>
    <w:p w:rsidR="00935B62" w:rsidRDefault="00935B62" w:rsidP="00935B6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>Для просмотра закупочной документации необходимо нажать на кнопку &lt;Документы и приложения&gt; ((1) Рисунок 25) при просмотре системного документа закупочной процедуры.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89716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89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</w:rPr>
        <w:t xml:space="preserve">Откроется окно </w:t>
      </w:r>
      <w:proofErr w:type="spellStart"/>
      <w:r w:rsidRPr="00935B62">
        <w:rPr>
          <w:rFonts w:ascii="Tahoma" w:hAnsi="Tahoma" w:cs="Tahoma"/>
        </w:rPr>
        <w:t>файлообменника</w:t>
      </w:r>
      <w:proofErr w:type="spellEnd"/>
      <w:r w:rsidRPr="00935B62">
        <w:rPr>
          <w:rFonts w:ascii="Tahoma" w:hAnsi="Tahoma" w:cs="Tahoma"/>
        </w:rPr>
        <w:t xml:space="preserve"> для размещения закупочной документации доступной участникам закупочной процедуры (Рисунок 26).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2872437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7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CC4085" w:rsidRDefault="00CC4085" w:rsidP="00855127">
      <w:pPr>
        <w:pStyle w:val="a3"/>
      </w:pPr>
      <w:bookmarkStart w:id="0" w:name="_GoBack"/>
      <w:bookmarkEnd w:id="0"/>
    </w:p>
    <w:sectPr w:rsidR="00CC4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7F0"/>
    <w:multiLevelType w:val="hybridMultilevel"/>
    <w:tmpl w:val="431E5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C7F7F"/>
    <w:multiLevelType w:val="hybridMultilevel"/>
    <w:tmpl w:val="159A22EE"/>
    <w:lvl w:ilvl="0" w:tplc="57387C4E">
      <w:start w:val="1"/>
      <w:numFmt w:val="bullet"/>
      <w:lvlText w:val="-"/>
      <w:lvlJc w:val="left"/>
      <w:pPr>
        <w:ind w:left="134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79A92EA">
      <w:start w:val="1"/>
      <w:numFmt w:val="bullet"/>
      <w:lvlText w:val="o"/>
      <w:lvlJc w:val="left"/>
      <w:pPr>
        <w:ind w:left="17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7842986">
      <w:start w:val="1"/>
      <w:numFmt w:val="bullet"/>
      <w:lvlText w:val="▪"/>
      <w:lvlJc w:val="left"/>
      <w:pPr>
        <w:ind w:left="24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3905482">
      <w:start w:val="1"/>
      <w:numFmt w:val="bullet"/>
      <w:lvlText w:val="∙"/>
      <w:lvlJc w:val="left"/>
      <w:pPr>
        <w:ind w:left="31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B1E67AC">
      <w:start w:val="1"/>
      <w:numFmt w:val="bullet"/>
      <w:lvlText w:val="o"/>
      <w:lvlJc w:val="left"/>
      <w:pPr>
        <w:ind w:left="391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E3A6D02">
      <w:start w:val="1"/>
      <w:numFmt w:val="bullet"/>
      <w:lvlText w:val="▪"/>
      <w:lvlJc w:val="left"/>
      <w:pPr>
        <w:ind w:left="463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4C45D42">
      <w:start w:val="1"/>
      <w:numFmt w:val="bullet"/>
      <w:lvlText w:val="∙"/>
      <w:lvlJc w:val="left"/>
      <w:pPr>
        <w:ind w:left="53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BB4F79E">
      <w:start w:val="1"/>
      <w:numFmt w:val="bullet"/>
      <w:lvlText w:val="o"/>
      <w:lvlJc w:val="left"/>
      <w:pPr>
        <w:ind w:left="60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7FAF3F8">
      <w:start w:val="1"/>
      <w:numFmt w:val="bullet"/>
      <w:lvlText w:val="▪"/>
      <w:lvlJc w:val="left"/>
      <w:pPr>
        <w:ind w:left="67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5C"/>
    <w:rsid w:val="000D1A72"/>
    <w:rsid w:val="00160996"/>
    <w:rsid w:val="001C37AF"/>
    <w:rsid w:val="002E7D52"/>
    <w:rsid w:val="00307693"/>
    <w:rsid w:val="00413686"/>
    <w:rsid w:val="006C6AAB"/>
    <w:rsid w:val="00720DC0"/>
    <w:rsid w:val="007F7439"/>
    <w:rsid w:val="00855127"/>
    <w:rsid w:val="00935B62"/>
    <w:rsid w:val="00BE4D97"/>
    <w:rsid w:val="00C41264"/>
    <w:rsid w:val="00CC4085"/>
    <w:rsid w:val="00EC275C"/>
    <w:rsid w:val="00F24054"/>
    <w:rsid w:val="00F2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EB634"/>
  <w15:chartTrackingRefBased/>
  <w15:docId w15:val="{726435D5-189D-4650-A5E4-C996C6D8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5512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0996"/>
    <w:rPr>
      <w:color w:val="0563C1"/>
      <w:u w:val="single"/>
    </w:rPr>
  </w:style>
  <w:style w:type="character" w:customStyle="1" w:styleId="a4">
    <w:name w:val="Абзац списка Знак"/>
    <w:aliases w:val="Заголовок_3 Знак"/>
    <w:basedOn w:val="a0"/>
    <w:link w:val="a3"/>
    <w:uiPriority w:val="34"/>
    <w:locked/>
    <w:rsid w:val="00160996"/>
  </w:style>
  <w:style w:type="paragraph" w:customStyle="1" w:styleId="Default">
    <w:name w:val="Default"/>
    <w:rsid w:val="00935B6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4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hyperlink" Target="mailto:suppliers@nornik.ru" TargetMode="Externa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Константин Вадимович</dc:creator>
  <cp:keywords/>
  <dc:description/>
  <cp:lastModifiedBy>Иванов Михаил Анатольевич</cp:lastModifiedBy>
  <cp:revision>10</cp:revision>
  <dcterms:created xsi:type="dcterms:W3CDTF">2021-04-13T08:25:00Z</dcterms:created>
  <dcterms:modified xsi:type="dcterms:W3CDTF">2021-11-25T11:45:00Z</dcterms:modified>
</cp:coreProperties>
</file>