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E056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0" w:name="_Toc450918089"/>
      <w:bookmarkStart w:id="1" w:name="_Toc458791446"/>
      <w:r>
        <w:rPr>
          <w:noProof/>
        </w:rPr>
        <w:drawing>
          <wp:anchor distT="0" distB="0" distL="114300" distR="114300" simplePos="0" relativeHeight="251659264" behindDoc="1" locked="0" layoutInCell="1" allowOverlap="1" wp14:anchorId="5BC8B9D6" wp14:editId="3E8E1E2F">
            <wp:simplePos x="0" y="0"/>
            <wp:positionH relativeFrom="column">
              <wp:posOffset>4352834</wp:posOffset>
            </wp:positionH>
            <wp:positionV relativeFrom="paragraph">
              <wp:posOffset>-683441</wp:posOffset>
            </wp:positionV>
            <wp:extent cx="2091055" cy="2069465"/>
            <wp:effectExtent l="0" t="0" r="4445" b="6985"/>
            <wp:wrapNone/>
            <wp:docPr id="1" name="Рисунок 1" descr="C:\MIG\Maket\1 НОВЫЙ\В работе Черно белый\чб вариан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MIG\Maket\1 НОВЫЙ\В работе Черно белый\чб вариан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030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1BDC7F7A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75131D38" w14:textId="77777777" w:rsidR="00B10AE3" w:rsidRPr="00BB0253" w:rsidRDefault="00B10AE3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2" w:name="ПриложениеЖ"/>
      <w:bookmarkEnd w:id="0"/>
      <w:bookmarkEnd w:id="1"/>
      <w:bookmarkEnd w:id="2"/>
    </w:p>
    <w:p w14:paraId="7954EC7E" w14:textId="77777777" w:rsidR="00B10AE3" w:rsidRPr="00BB0253" w:rsidRDefault="00B10AE3" w:rsidP="00B10AE3">
      <w:pPr>
        <w:rPr>
          <w:rFonts w:ascii="Tahoma" w:hAnsi="Tahoma" w:cs="Tahom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62"/>
        <w:gridCol w:w="363"/>
        <w:gridCol w:w="1789"/>
      </w:tblGrid>
      <w:tr w:rsidR="00B10AE3" w:rsidRPr="00BB0253" w14:paraId="24EC2E7F" w14:textId="77777777" w:rsidTr="007F444A">
        <w:trPr>
          <w:trHeight w:val="5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1A76B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08146" w14:textId="622E4BF3" w:rsidR="00B10AE3" w:rsidRPr="00BB0253" w:rsidRDefault="00C80630" w:rsidP="006713C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20</w:t>
            </w:r>
            <w:bookmarkStart w:id="3" w:name="_GoBack"/>
            <w:bookmarkEnd w:id="3"/>
            <w:r w:rsidR="006822E8">
              <w:rPr>
                <w:rFonts w:ascii="Tahoma" w:hAnsi="Tahoma" w:cs="Tahoma"/>
                <w:sz w:val="20"/>
              </w:rPr>
              <w:t>.06.2025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28EC2642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484ED" w14:textId="732B1522" w:rsidR="00B10AE3" w:rsidRPr="00BB0253" w:rsidRDefault="006822E8" w:rsidP="006713C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20046687/2</w:t>
            </w:r>
          </w:p>
        </w:tc>
      </w:tr>
      <w:tr w:rsidR="00B10AE3" w:rsidRPr="00BB0253" w14:paraId="31D2FFA0" w14:textId="77777777" w:rsidTr="006713C3">
        <w:trPr>
          <w:trHeight w:val="44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C09309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</w:p>
          <w:p w14:paraId="5DD56C07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На №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E256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CD61A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E717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</w:tr>
    </w:tbl>
    <w:p w14:paraId="06A57578" w14:textId="77777777" w:rsidR="00B10AE3" w:rsidRPr="00BB0253" w:rsidRDefault="00B10AE3" w:rsidP="00B10AE3">
      <w:pPr>
        <w:spacing w:after="120"/>
        <w:ind w:left="5103"/>
        <w:jc w:val="left"/>
        <w:rPr>
          <w:rFonts w:ascii="Tahoma" w:hAnsi="Tahoma" w:cs="Tahoma"/>
          <w:sz w:val="20"/>
        </w:rPr>
      </w:pPr>
    </w:p>
    <w:p w14:paraId="149835FE" w14:textId="3D49B39B" w:rsidR="00B10AE3" w:rsidRDefault="00B10AE3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  <w:bookmarkStart w:id="4" w:name="_Toc503366445"/>
      <w:bookmarkStart w:id="5" w:name="_Toc508030096"/>
      <w:bookmarkStart w:id="6" w:name="_Toc450918090"/>
      <w:bookmarkStart w:id="7" w:name="_Toc458791447"/>
      <w:r w:rsidRPr="007F444A">
        <w:rPr>
          <w:rFonts w:ascii="Tahoma" w:hAnsi="Tahoma" w:cs="Tahoma"/>
          <w:b/>
          <w:sz w:val="18"/>
          <w:szCs w:val="18"/>
        </w:rPr>
        <w:t>Приглашение к участию в Закупочной процедуре</w:t>
      </w:r>
      <w:bookmarkEnd w:id="4"/>
      <w:bookmarkEnd w:id="5"/>
    </w:p>
    <w:p w14:paraId="4F7C2783" w14:textId="77777777" w:rsidR="00492DE9" w:rsidRPr="007F444A" w:rsidRDefault="00492DE9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</w:p>
    <w:p w14:paraId="60627C5C" w14:textId="77777777" w:rsidR="00492DE9" w:rsidRPr="00D223B2" w:rsidRDefault="00492DE9" w:rsidP="00492DE9">
      <w:pPr>
        <w:spacing w:line="276" w:lineRule="auto"/>
        <w:ind w:firstLine="708"/>
        <w:rPr>
          <w:rFonts w:ascii="Tahoma" w:hAnsi="Tahoma" w:cs="Tahoma"/>
          <w:sz w:val="18"/>
          <w:szCs w:val="18"/>
        </w:rPr>
      </w:pPr>
      <w:r w:rsidRPr="00D223B2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 приглашает Вас принять участие в следующей Закупочной процедуре:</w:t>
      </w:r>
    </w:p>
    <w:p w14:paraId="1BF8425F" w14:textId="7B250BF8" w:rsidR="00B10AE3" w:rsidRPr="007F444A" w:rsidRDefault="00492DE9" w:rsidP="00B10AE3">
      <w:pPr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tbl>
      <w:tblPr>
        <w:tblW w:w="964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86"/>
        <w:gridCol w:w="4860"/>
      </w:tblGrid>
      <w:tr w:rsidR="00B10AE3" w:rsidRPr="00306385" w14:paraId="4758534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FBF9" w14:textId="77777777" w:rsidR="00B10AE3" w:rsidRPr="00306385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418A" w14:textId="65773FB2" w:rsidR="00DE4DE0" w:rsidRPr="00306385" w:rsidRDefault="00FC7FCF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iCs/>
                <w:sz w:val="18"/>
                <w:szCs w:val="18"/>
                <w:lang w:eastAsia="en-US"/>
              </w:rPr>
              <w:t>Поставка блок-модулей (3 шт.) для обогрева сотрудников складской службы с монтажом</w:t>
            </w:r>
          </w:p>
        </w:tc>
      </w:tr>
      <w:tr w:rsidR="00B10AE3" w:rsidRPr="00306385" w14:paraId="218383AA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A648" w14:textId="77777777" w:rsidR="00B10AE3" w:rsidRPr="00306385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E9AE" w14:textId="0B0CFAE7" w:rsidR="00B10AE3" w:rsidRPr="00306385" w:rsidRDefault="000F76F7" w:rsidP="008577BC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Предоставлено</w:t>
            </w:r>
            <w:r w:rsidR="00B10AE3" w:rsidRPr="00306385">
              <w:rPr>
                <w:rFonts w:ascii="Tahoma" w:hAnsi="Tahoma" w:cs="Tahoma"/>
                <w:sz w:val="18"/>
                <w:szCs w:val="18"/>
              </w:rPr>
              <w:t xml:space="preserve"> в т</w:t>
            </w:r>
            <w:r w:rsidRPr="00306385">
              <w:rPr>
                <w:rFonts w:ascii="Tahoma" w:hAnsi="Tahoma" w:cs="Tahoma"/>
                <w:sz w:val="18"/>
                <w:szCs w:val="18"/>
              </w:rPr>
              <w:t>ехническом задании</w:t>
            </w:r>
            <w:r w:rsidR="00970DE4" w:rsidRPr="00306385">
              <w:rPr>
                <w:rFonts w:ascii="Tahoma" w:hAnsi="Tahoma" w:cs="Tahoma"/>
                <w:sz w:val="18"/>
                <w:szCs w:val="18"/>
              </w:rPr>
              <w:t>,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прилагаемом к </w:t>
            </w:r>
            <w:r w:rsidR="008577BC" w:rsidRPr="00306385">
              <w:rPr>
                <w:rFonts w:ascii="Tahoma" w:hAnsi="Tahoma" w:cs="Tahoma"/>
                <w:sz w:val="18"/>
                <w:szCs w:val="18"/>
              </w:rPr>
              <w:t>приглашению</w:t>
            </w:r>
          </w:p>
        </w:tc>
      </w:tr>
      <w:tr w:rsidR="00B10AE3" w:rsidRPr="00306385" w14:paraId="4B5416E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E739" w14:textId="77777777" w:rsidR="00B10AE3" w:rsidRPr="00306385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3. Инструмент проведения Закупки (редукцион, запрос цен/предложений).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713" w14:textId="03F2A6A3" w:rsidR="00B10AE3" w:rsidRPr="00306385" w:rsidRDefault="000C2CB7" w:rsidP="007379AB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Запрос </w:t>
            </w:r>
            <w:r w:rsidR="007379AB" w:rsidRPr="00306385">
              <w:rPr>
                <w:rFonts w:ascii="Tahoma" w:hAnsi="Tahoma" w:cs="Tahoma"/>
                <w:sz w:val="18"/>
                <w:szCs w:val="18"/>
              </w:rPr>
              <w:t>предложений</w:t>
            </w:r>
            <w:r w:rsidRPr="0030638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B10AE3" w:rsidRPr="00306385" w14:paraId="4587BE0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3F76" w14:textId="77777777" w:rsidR="00B10AE3" w:rsidRPr="00306385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4.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142" w14:textId="77CDB9EB" w:rsidR="00500EE4" w:rsidRPr="00306385" w:rsidRDefault="000F76F7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Актуальный срок окончания подачи предложений см. в системе </w:t>
            </w:r>
            <w:r w:rsidRPr="00306385">
              <w:rPr>
                <w:rFonts w:ascii="Tahoma" w:hAnsi="Tahoma" w:cs="Tahoma"/>
                <w:sz w:val="18"/>
                <w:szCs w:val="18"/>
                <w:lang w:val="en-US"/>
              </w:rPr>
              <w:t>SAP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06385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="00A77732" w:rsidRPr="00306385">
              <w:rPr>
                <w:rFonts w:ascii="Tahoma" w:hAnsi="Tahoma" w:cs="Tahoma"/>
                <w:sz w:val="18"/>
                <w:szCs w:val="18"/>
              </w:rPr>
              <w:t xml:space="preserve">: </w:t>
            </w:r>
            <w:hyperlink r:id="rId8" w:history="1">
              <w:r w:rsidR="002110CC" w:rsidRPr="00DA5D7D">
                <w:rPr>
                  <w:rStyle w:val="a6"/>
                  <w:rFonts w:ascii="Tahoma" w:hAnsi="Tahoma" w:cs="Tahoma"/>
                  <w:sz w:val="18"/>
                  <w:szCs w:val="18"/>
                </w:rPr>
                <w:t>https://srm.nornik.ru</w:t>
              </w:r>
            </w:hyperlink>
            <w:r w:rsidR="002110C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CC008C5" w14:textId="16009AEE" w:rsidR="00B10AE3" w:rsidRPr="00306385" w:rsidRDefault="000F76F7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color w:val="000000"/>
                <w:sz w:val="18"/>
                <w:szCs w:val="18"/>
              </w:rPr>
              <w:t>Заявку на участие в закупочной процедуре необходимо направить через систему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06385">
              <w:rPr>
                <w:rFonts w:ascii="Tahoma" w:hAnsi="Tahoma" w:cs="Tahoma"/>
                <w:sz w:val="18"/>
                <w:szCs w:val="18"/>
                <w:lang w:val="en-US"/>
              </w:rPr>
              <w:t>SAP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06385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Pr="00306385">
              <w:rPr>
                <w:rFonts w:ascii="Tahoma" w:hAnsi="Tahoma" w:cs="Tahoma"/>
                <w:sz w:val="18"/>
                <w:szCs w:val="18"/>
              </w:rPr>
              <w:t>.</w:t>
            </w:r>
            <w:r w:rsidR="00294F43" w:rsidRPr="00306385">
              <w:rPr>
                <w:rFonts w:ascii="Tahoma" w:hAnsi="Tahoma" w:cs="Tahoma"/>
                <w:sz w:val="18"/>
                <w:szCs w:val="18"/>
              </w:rPr>
              <w:t xml:space="preserve"> Инструкция для участия в закупочных процедурах доступна пользователем после предварительной регистрации в системе </w:t>
            </w:r>
            <w:r w:rsidR="00294F43" w:rsidRPr="00306385">
              <w:rPr>
                <w:rFonts w:ascii="Tahoma" w:hAnsi="Tahoma" w:cs="Tahoma"/>
                <w:sz w:val="18"/>
                <w:szCs w:val="18"/>
                <w:lang w:val="en-US"/>
              </w:rPr>
              <w:t>SAP</w:t>
            </w:r>
            <w:r w:rsidR="00294F43" w:rsidRPr="003063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4F43" w:rsidRPr="00306385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="00294F43" w:rsidRPr="0030638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88F8901" w14:textId="6A83968C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 Заказчик вправе при необходимости изменить данный срок.</w:t>
            </w:r>
          </w:p>
        </w:tc>
      </w:tr>
      <w:tr w:rsidR="00B10AE3" w:rsidRPr="00306385" w14:paraId="0122A22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39FB" w14:textId="77777777" w:rsidR="00B10AE3" w:rsidRPr="00306385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5. Базис поставки.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9401" w14:textId="55336F6F" w:rsidR="00500EE4" w:rsidRPr="00306385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г. Мурманск, </w:t>
            </w:r>
          </w:p>
          <w:p w14:paraId="756A1132" w14:textId="6DB9B07C" w:rsidR="00B10AE3" w:rsidRPr="00306385" w:rsidRDefault="00500EE4" w:rsidP="00500EE4">
            <w:pPr>
              <w:spacing w:line="259" w:lineRule="auto"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территория М</w:t>
            </w:r>
            <w:r w:rsidR="00647486" w:rsidRPr="00306385">
              <w:rPr>
                <w:rFonts w:ascii="Tahoma" w:hAnsi="Tahoma" w:cs="Tahoma"/>
                <w:sz w:val="18"/>
                <w:szCs w:val="18"/>
              </w:rPr>
              <w:t>урманского транспортного филиала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ПАО «ГМК «Норильский никель»</w:t>
            </w:r>
            <w:r w:rsidR="00781CFA" w:rsidRPr="00306385">
              <w:rPr>
                <w:rFonts w:ascii="Tahoma" w:hAnsi="Tahoma" w:cs="Tahoma"/>
                <w:sz w:val="18"/>
                <w:szCs w:val="18"/>
              </w:rPr>
              <w:t>, Портовый проезд, д. 31</w:t>
            </w:r>
          </w:p>
        </w:tc>
      </w:tr>
      <w:tr w:rsidR="00500EE4" w:rsidRPr="00306385" w14:paraId="4D6F1BC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76BB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6. Форма, условия и сроки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2ED3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>6.1. Безналичный расчет.</w:t>
            </w:r>
          </w:p>
          <w:p w14:paraId="74DD28B8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>6.2.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документов, являющихся основанием для платежа (счет на аванс и независимая гарантия (в случае ее оформления)).</w:t>
            </w:r>
          </w:p>
          <w:p w14:paraId="63701367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Авансовый платеж может быть произведен: </w:t>
            </w:r>
          </w:p>
          <w:p w14:paraId="5DA53A4C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- на сумму не более 9 999 999 руб. в том числе НДС либо в иной валюте по курсу ЦБ РФ на дату оплаты. Поставщиком может быть предоставлена независимая гарантия возврата авансового платежа. </w:t>
            </w:r>
          </w:p>
          <w:p w14:paraId="26BA5452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Примечание: при прочих равных условиях приоритет может быть отдан участнику закупочной процедуры, не использующему авансовую форму расчетов либо предоставившему независимую гарантию обеспечения возврата авансового платежа.</w:t>
            </w:r>
          </w:p>
          <w:p w14:paraId="5541980B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- на сумму 10 000 000 руб. и более, в т. ч. НДС либо в иной валюте по курсу ЦБ РФ на дату оплаты. На </w:t>
            </w:r>
            <w:r w:rsidRPr="002110CC">
              <w:rPr>
                <w:rFonts w:ascii="Tahoma" w:hAnsi="Tahoma" w:cs="Tahoma"/>
                <w:sz w:val="18"/>
                <w:szCs w:val="18"/>
              </w:rPr>
              <w:lastRenderedPageBreak/>
              <w:t>сумму авансового платежа должна быть оформлена независимая гарантия его возврата.</w:t>
            </w:r>
          </w:p>
          <w:p w14:paraId="5072B80F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 авансовую форму расчетов.</w:t>
            </w:r>
          </w:p>
          <w:p w14:paraId="5C0BFE06" w14:textId="3C4C7C1B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6.3. Оплата осуществляется в первую рабочую пятницу после истечения </w:t>
            </w:r>
            <w:r>
              <w:rPr>
                <w:rFonts w:ascii="Tahoma" w:hAnsi="Tahoma" w:cs="Tahoma"/>
                <w:sz w:val="18"/>
                <w:szCs w:val="18"/>
              </w:rPr>
              <w:t>67</w:t>
            </w:r>
            <w:r w:rsidRPr="002110CC">
              <w:rPr>
                <w:rFonts w:ascii="Tahoma" w:hAnsi="Tahoma" w:cs="Tahoma"/>
                <w:sz w:val="18"/>
                <w:szCs w:val="18"/>
              </w:rPr>
              <w:t xml:space="preserve">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  <w:p w14:paraId="531D1F92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Примечание: аванс должен быть использован для оплаты авансов субподрядчикам/соисполнителям /поставщикам и иных расходов, прямо связанных с исполнением сделки. В заявке на участие к закупочной процедуре необходимо указать конкретный перечень расходов, на который поставщик потратит аванс. Данные цели будут включены в условиях договора.</w:t>
            </w:r>
          </w:p>
          <w:p w14:paraId="1F50F364" w14:textId="77777777" w:rsidR="002110CC" w:rsidRPr="002110CC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 xml:space="preserve">   Примечание: с условиями оформления независимых гарантий обеспечения исполнения обязательств по договорам, в том числе возврата авансового платежа, можно ознакомиться на сайте ПАО «ГМК «Норильский никель» по следующему адресу:</w:t>
            </w:r>
          </w:p>
          <w:p w14:paraId="7F960483" w14:textId="350D3FED" w:rsidR="002110CC" w:rsidRPr="002110CC" w:rsidRDefault="00C80630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hyperlink r:id="rId9" w:history="1">
              <w:r w:rsidR="002110CC" w:rsidRPr="00DA5D7D">
                <w:rPr>
                  <w:rStyle w:val="a6"/>
                  <w:rFonts w:ascii="Tahoma" w:hAnsi="Tahoma" w:cs="Tahoma"/>
                  <w:sz w:val="18"/>
                  <w:szCs w:val="18"/>
                </w:rPr>
                <w:t>https://www.nornickel.ru/suppliers/contractual-documentation/</w:t>
              </w:r>
            </w:hyperlink>
            <w:r w:rsidR="002110C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5970387" w14:textId="393816D8" w:rsidR="00500EE4" w:rsidRPr="00306385" w:rsidRDefault="002110CC" w:rsidP="002110CC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10CC">
              <w:rPr>
                <w:rFonts w:ascii="Tahoma" w:hAnsi="Tahoma" w:cs="Tahoma"/>
                <w:sz w:val="18"/>
                <w:szCs w:val="18"/>
              </w:rPr>
              <w:t>(Приложение 2 о гарантиях)</w:t>
            </w:r>
          </w:p>
        </w:tc>
      </w:tr>
      <w:tr w:rsidR="00500EE4" w:rsidRPr="00306385" w14:paraId="31D04B6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4A94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>7. График / Срок поставки / выполнения работ / оказания услуг.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ECD4" w14:textId="4CA2795C" w:rsidR="00500EE4" w:rsidRPr="007373D6" w:rsidRDefault="006F307A" w:rsidP="007373D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373D6">
              <w:rPr>
                <w:rFonts w:ascii="Tahoma" w:hAnsi="Tahoma" w:cs="Tahoma"/>
                <w:sz w:val="18"/>
                <w:szCs w:val="18"/>
              </w:rPr>
              <w:t xml:space="preserve">Срок оказание услуги </w:t>
            </w:r>
            <w:r w:rsidR="004F7C28">
              <w:rPr>
                <w:rFonts w:ascii="Tahoma" w:hAnsi="Tahoma" w:cs="Tahoma"/>
                <w:sz w:val="18"/>
                <w:szCs w:val="18"/>
              </w:rPr>
              <w:t>поставка</w:t>
            </w:r>
            <w:r w:rsidR="007373D6">
              <w:rPr>
                <w:rFonts w:ascii="Tahoma" w:hAnsi="Tahoma" w:cs="Tahoma"/>
                <w:sz w:val="18"/>
                <w:szCs w:val="18"/>
              </w:rPr>
              <w:t xml:space="preserve"> и монтаж</w:t>
            </w:r>
            <w:r w:rsidRPr="007373D6">
              <w:rPr>
                <w:rFonts w:ascii="Tahoma" w:hAnsi="Tahoma" w:cs="Tahoma"/>
                <w:sz w:val="18"/>
                <w:szCs w:val="18"/>
              </w:rPr>
              <w:t xml:space="preserve"> сроком не более 30 рабочих дней с </w:t>
            </w:r>
            <w:r w:rsidR="007373D6">
              <w:rPr>
                <w:rFonts w:ascii="Tahoma" w:hAnsi="Tahoma" w:cs="Tahoma"/>
                <w:sz w:val="18"/>
                <w:szCs w:val="18"/>
              </w:rPr>
              <w:t>даты заключения договора</w:t>
            </w:r>
            <w:r w:rsidRPr="007373D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00EE4" w:rsidRPr="00306385" w14:paraId="1552901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2FE0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5C59" w14:textId="17BE6B06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Не требуется</w:t>
            </w:r>
            <w:r w:rsidRPr="00306385" w:rsidDel="00D57AB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306385" w14:paraId="001237D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A7B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9.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0F07" w14:textId="308517E0" w:rsidR="00500EE4" w:rsidRPr="00306385" w:rsidRDefault="000E6B00" w:rsidP="00500EE4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Не требуется</w:t>
            </w:r>
            <w:r w:rsidRPr="00306385" w:rsidDel="00D57AB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306385" w14:paraId="2A973D5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1036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10.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C5CF" w14:textId="504DD05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306385" w14:paraId="1218228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8DD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11.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DEBF" w14:textId="6683DB46" w:rsidR="00500EE4" w:rsidRPr="00306385" w:rsidRDefault="00837A20" w:rsidP="00886A3F">
            <w:pPr>
              <w:rPr>
                <w:rFonts w:ascii="Tahoma" w:hAnsi="Tahoma" w:cs="Tahoma"/>
                <w:sz w:val="18"/>
                <w:szCs w:val="18"/>
              </w:rPr>
            </w:pPr>
            <w:r w:rsidRPr="00837A20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306385" w14:paraId="0EF6F0A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400D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12.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69A" w14:textId="54ED5AF6" w:rsidR="00500EE4" w:rsidRPr="00306385" w:rsidRDefault="00837A20" w:rsidP="00D92748">
            <w:pPr>
              <w:rPr>
                <w:rFonts w:ascii="Tahoma" w:hAnsi="Tahoma" w:cs="Tahoma"/>
                <w:sz w:val="18"/>
                <w:szCs w:val="18"/>
              </w:rPr>
            </w:pPr>
            <w:r w:rsidRPr="00837A20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306385" w14:paraId="500E440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2749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13. Требование о представлении документов, подтверждающих правоспособность, благонадежность, платежеспособность и финансовую </w:t>
            </w: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 xml:space="preserve">устойчивость Поставщика в соответствии с требованиями Положения о договорной работе.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596" w14:textId="77777777" w:rsidR="00500EE4" w:rsidRPr="00306385" w:rsidRDefault="00500EE4" w:rsidP="00500EE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6385">
              <w:rPr>
                <w:rFonts w:ascii="Tahoma" w:hAnsi="Tahoma" w:cs="Tahoma"/>
                <w:b/>
                <w:sz w:val="18"/>
                <w:szCs w:val="18"/>
              </w:rPr>
              <w:lastRenderedPageBreak/>
              <w:t>Для юридических лиц:</w:t>
            </w:r>
          </w:p>
          <w:p w14:paraId="22403BB5" w14:textId="59C3A524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>– выписка из Единого государственного реестра юридических лиц, выданная не ранее чем за один месяц до дня предъявления;</w:t>
            </w:r>
          </w:p>
          <w:p w14:paraId="153F5BC8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учредительные документы со всеми изменениями;</w:t>
            </w:r>
          </w:p>
          <w:p w14:paraId="3AB0D702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− решение либо выписку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      </w:r>
          </w:p>
          <w:p w14:paraId="2D3528EA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документы, подтверждающие согласие на совершение сделки /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контрагента;</w:t>
            </w:r>
          </w:p>
          <w:p w14:paraId="6B6F73E5" w14:textId="2E550651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− 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квитанции о приеме отчетности) (в случае заключения договора с финансовой организацией предоставляются сведения о сетевом ресурсе, на котором размещена отчетность организации); </w:t>
            </w:r>
          </w:p>
          <w:p w14:paraId="2DBDFEB2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– 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      </w:r>
          </w:p>
          <w:p w14:paraId="6CE0B8B8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организациями);</w:t>
            </w:r>
          </w:p>
          <w:p w14:paraId="041B64AE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для контрагентов, полномочия единоличного исполнительного органа которого переданы управляющей компании, – договор с управляющей компанией и документа об избрании (назначении) единоличного исполнительного органа компании;</w:t>
            </w:r>
          </w:p>
          <w:p w14:paraId="29F2282D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документы об избрании членов органов управления контрагента;</w:t>
            </w:r>
          </w:p>
          <w:p w14:paraId="49FC0C55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доверенность на заключение договора – в случае, если договор подписывается не исполнительным органом контрагента / акт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образованиями);</w:t>
            </w:r>
          </w:p>
          <w:p w14:paraId="6571E561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− лицензии, патенты, допуски и т. п. – при заключении договоров на выполнение работ, оказание услуг и т. 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5D79A589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− 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 п.); </w:t>
            </w:r>
          </w:p>
          <w:p w14:paraId="1ED056CF" w14:textId="75361A9A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– информация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</w:t>
            </w: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>владельцах которых может быть установлена на основании сведений Единого государственного реестра юридических лиц).</w:t>
            </w:r>
          </w:p>
          <w:p w14:paraId="399EF51A" w14:textId="76BB5024" w:rsidR="00500EE4" w:rsidRPr="00306385" w:rsidRDefault="00500EE4" w:rsidP="00500EE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6385">
              <w:rPr>
                <w:rFonts w:ascii="Tahoma" w:hAnsi="Tahoma" w:cs="Tahoma"/>
                <w:b/>
                <w:sz w:val="18"/>
                <w:szCs w:val="18"/>
              </w:rPr>
              <w:t>Для индивидуальных предпринимателей:</w:t>
            </w:r>
          </w:p>
          <w:p w14:paraId="5C9BB749" w14:textId="712C71DE" w:rsidR="00500EE4" w:rsidRPr="00306385" w:rsidRDefault="00500EE4" w:rsidP="00500EE4">
            <w:pPr>
              <w:numPr>
                <w:ilvl w:val="0"/>
                <w:numId w:val="2"/>
              </w:numPr>
              <w:tabs>
                <w:tab w:val="left" w:pos="709"/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предъявления; </w:t>
            </w:r>
          </w:p>
          <w:p w14:paraId="5CD34894" w14:textId="77777777" w:rsidR="00500EE4" w:rsidRPr="0030638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реквизиты основного документа, удостоверяющего личность физического лица на территории Российской Федерации;</w:t>
            </w:r>
          </w:p>
          <w:p w14:paraId="30944689" w14:textId="4EBEBDD7" w:rsidR="00500EE4" w:rsidRPr="0030638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налогообложения;</w:t>
            </w:r>
          </w:p>
          <w:p w14:paraId="0685B6AD" w14:textId="603566B2" w:rsidR="00500EE4" w:rsidRPr="0030638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налоговая отчетность, содержащая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налогообложения);</w:t>
            </w:r>
          </w:p>
          <w:p w14:paraId="4362B768" w14:textId="1B2EC6D7" w:rsidR="00500EE4" w:rsidRPr="0030638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декларация конфликта интересов по форме, установленной нормативно-методическими документами Компании</w:t>
            </w:r>
            <w:r w:rsidRPr="003063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306385">
              <w:rPr>
                <w:rFonts w:ascii="Tahoma" w:hAnsi="Tahoma" w:cs="Tahoma"/>
                <w:sz w:val="18"/>
                <w:szCs w:val="18"/>
              </w:rPr>
              <w:t>в области предупреждения и урегулирования конфликта интересов (предоставляется по форме ПАО «ГМК «Норильский никель», прилагаемой к настоящему приглашению);</w:t>
            </w:r>
          </w:p>
          <w:p w14:paraId="3D22EF1E" w14:textId="77777777" w:rsidR="00500EE4" w:rsidRPr="00306385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индивидуальным предпринимателем;</w:t>
            </w:r>
          </w:p>
          <w:p w14:paraId="003C1FAE" w14:textId="77777777" w:rsidR="00500EE4" w:rsidRPr="00306385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1D97F828" w14:textId="5EA84882" w:rsidR="00500EE4" w:rsidRPr="00306385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п.).</w:t>
            </w:r>
          </w:p>
          <w:p w14:paraId="78F28ED2" w14:textId="7FCACAE1" w:rsidR="00500EE4" w:rsidRPr="00306385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sz w:val="18"/>
                <w:szCs w:val="18"/>
              </w:rPr>
            </w:pPr>
          </w:p>
          <w:p w14:paraId="21D6087C" w14:textId="4F4C5AC8" w:rsidR="00500EE4" w:rsidRPr="00306385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306385">
              <w:rPr>
                <w:rFonts w:ascii="Tahoma" w:hAnsi="Tahoma" w:cs="Tahoma"/>
                <w:b/>
                <w:sz w:val="18"/>
                <w:szCs w:val="18"/>
              </w:rPr>
              <w:t>Для всех участников:</w:t>
            </w:r>
          </w:p>
          <w:p w14:paraId="222DBF3D" w14:textId="1D6C6876" w:rsidR="00500EE4" w:rsidRPr="00306385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Подтверждение того,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500EE4" w:rsidRPr="00306385" w14:paraId="18DFE22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A0B8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>14. Требование о представлении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A22F" w14:textId="15D5F164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306385" w14:paraId="65A7095E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BF8" w14:textId="77777777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83C8" w14:textId="5BF309D5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Применимое право – РФ. Подсудность – арбитражный суд Мурманской области.</w:t>
            </w:r>
          </w:p>
          <w:p w14:paraId="6EF26F5C" w14:textId="661D8BDA" w:rsidR="00500EE4" w:rsidRPr="00306385" w:rsidRDefault="00500EE4" w:rsidP="008B7F62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Условия договора – в соответствии</w:t>
            </w:r>
            <w:r w:rsidR="00E55D04" w:rsidRPr="003063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6471E">
              <w:rPr>
                <w:rFonts w:ascii="Tahoma" w:hAnsi="Tahoma" w:cs="Tahoma"/>
                <w:sz w:val="18"/>
                <w:szCs w:val="18"/>
              </w:rPr>
              <w:t xml:space="preserve">с </w:t>
            </w:r>
            <w:r w:rsidR="00E55D04" w:rsidRPr="00306385">
              <w:rPr>
                <w:rFonts w:ascii="Tahoma" w:hAnsi="Tahoma" w:cs="Tahoma"/>
                <w:sz w:val="18"/>
                <w:szCs w:val="18"/>
              </w:rPr>
              <w:t xml:space="preserve">типовой формой договора </w:t>
            </w:r>
            <w:r w:rsidR="004F6B11" w:rsidRPr="00306385">
              <w:rPr>
                <w:rFonts w:ascii="Tahoma" w:hAnsi="Tahoma" w:cs="Tahoma"/>
                <w:sz w:val="18"/>
                <w:szCs w:val="18"/>
              </w:rPr>
              <w:t>(приложение №5)</w:t>
            </w:r>
            <w:r w:rsidR="008B7F62" w:rsidRPr="00306385" w:rsidDel="008B7F6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306385" w14:paraId="059E1A6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392F" w14:textId="1319C92E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lastRenderedPageBreak/>
              <w:t>16. Требования к предоставлению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9857" w14:textId="2093172A" w:rsidR="00500EE4" w:rsidRPr="00306385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Не требуется</w:t>
            </w:r>
            <w:r w:rsidRPr="00306385" w:rsidDel="001329E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014C3B" w:rsidRPr="00306385" w14:paraId="15796905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9096" w14:textId="32C2B3BA" w:rsidR="00014C3B" w:rsidRPr="00306385" w:rsidRDefault="00014C3B" w:rsidP="00014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 Соответствие технико-коммерческого предложения техническому заданию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B693" w14:textId="77777777" w:rsidR="00014C3B" w:rsidRDefault="00A21C85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A21C85">
              <w:rPr>
                <w:rFonts w:ascii="Tahoma" w:hAnsi="Tahoma" w:cs="Tahoma"/>
                <w:sz w:val="18"/>
                <w:szCs w:val="18"/>
              </w:rPr>
              <w:t>Соответствие технической части предложения Поставщика техническому заданию Заказчика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E0CA097" w14:textId="4D42E5AE" w:rsidR="00A21C85" w:rsidRPr="000C0D54" w:rsidRDefault="00A21C85" w:rsidP="000C0D54">
            <w:pPr>
              <w:rPr>
                <w:rFonts w:ascii="Tahoma" w:hAnsi="Tahoma" w:cs="Tahoma"/>
                <w:sz w:val="18"/>
                <w:szCs w:val="18"/>
              </w:rPr>
            </w:pPr>
            <w:r w:rsidRPr="00A21C85">
              <w:rPr>
                <w:rFonts w:ascii="Tahoma" w:hAnsi="Tahoma" w:cs="Tahoma"/>
                <w:sz w:val="18"/>
                <w:szCs w:val="18"/>
              </w:rPr>
              <w:t xml:space="preserve">Подтверждается </w:t>
            </w:r>
            <w:r w:rsidR="000C0D54">
              <w:rPr>
                <w:rFonts w:ascii="Tahoma" w:hAnsi="Tahoma" w:cs="Tahoma"/>
                <w:sz w:val="18"/>
                <w:szCs w:val="18"/>
              </w:rPr>
              <w:t>письмом поставщика.</w:t>
            </w:r>
          </w:p>
        </w:tc>
      </w:tr>
      <w:tr w:rsidR="00500EE4" w:rsidRPr="00306385" w14:paraId="407E71FD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77E6" w14:textId="32EC445F" w:rsidR="00500EE4" w:rsidRPr="00306385" w:rsidRDefault="00500EE4" w:rsidP="00A21C85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</w:t>
            </w:r>
            <w:r w:rsidR="00A21C85">
              <w:rPr>
                <w:rFonts w:ascii="Tahoma" w:hAnsi="Tahoma" w:cs="Tahoma"/>
                <w:sz w:val="18"/>
                <w:szCs w:val="18"/>
              </w:rPr>
              <w:t>8</w:t>
            </w:r>
            <w:r w:rsidRPr="00306385">
              <w:rPr>
                <w:rFonts w:ascii="Tahoma" w:hAnsi="Tahoma" w:cs="Tahoma"/>
                <w:sz w:val="18"/>
                <w:szCs w:val="18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1118" w14:textId="47D48875" w:rsidR="005C06B1" w:rsidRPr="00306385" w:rsidRDefault="005C06B1" w:rsidP="008B50B0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</w:t>
            </w:r>
            <w:r w:rsidR="00A21C85">
              <w:rPr>
                <w:rFonts w:ascii="Tahoma" w:hAnsi="Tahoma" w:cs="Tahoma"/>
                <w:sz w:val="18"/>
                <w:szCs w:val="18"/>
              </w:rPr>
              <w:t>8</w:t>
            </w:r>
            <w:r w:rsidRPr="00306385">
              <w:rPr>
                <w:rFonts w:ascii="Tahoma" w:hAnsi="Tahoma" w:cs="Tahoma"/>
                <w:sz w:val="18"/>
                <w:szCs w:val="18"/>
              </w:rPr>
              <w:t>.1. Наличие у поставщика опыта выполнения работ аналогичных предмету закупки.</w:t>
            </w:r>
          </w:p>
          <w:p w14:paraId="53C172D4" w14:textId="4B77DE0E" w:rsidR="005C06B1" w:rsidRPr="00306385" w:rsidRDefault="005C06B1" w:rsidP="008B50B0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Подтверждается поставщиком копией договора и/или копией счета-фактуры и/или копией акта выполненн</w:t>
            </w:r>
            <w:r w:rsidR="00F03B92">
              <w:rPr>
                <w:rFonts w:ascii="Tahoma" w:hAnsi="Tahoma" w:cs="Tahoma"/>
                <w:sz w:val="18"/>
                <w:szCs w:val="18"/>
              </w:rPr>
              <w:t>ых работ за последние 2</w:t>
            </w:r>
            <w:r w:rsidR="00087E59">
              <w:rPr>
                <w:rFonts w:ascii="Tahoma" w:hAnsi="Tahoma" w:cs="Tahoma"/>
                <w:sz w:val="18"/>
                <w:szCs w:val="18"/>
              </w:rPr>
              <w:t xml:space="preserve"> года</w:t>
            </w:r>
            <w:r w:rsidRPr="0030638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E88FB00" w14:textId="1314A4A1" w:rsidR="00C247E6" w:rsidRPr="00306385" w:rsidRDefault="00695744" w:rsidP="008B50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18.2</w:t>
            </w:r>
            <w:r w:rsidR="00C247E6" w:rsidRPr="00306385">
              <w:rPr>
                <w:rFonts w:ascii="Tahoma" w:hAnsi="Tahoma" w:cs="Tahoma"/>
                <w:sz w:val="18"/>
                <w:szCs w:val="18"/>
              </w:rPr>
              <w:t xml:space="preserve">. Предоставление услуги </w:t>
            </w:r>
            <w:r>
              <w:rPr>
                <w:rFonts w:ascii="Tahoma" w:hAnsi="Tahoma" w:cs="Tahoma"/>
                <w:sz w:val="18"/>
                <w:szCs w:val="18"/>
              </w:rPr>
              <w:t>поставка и монтаж</w:t>
            </w:r>
            <w:r w:rsidR="00C247E6" w:rsidRPr="00306385">
              <w:rPr>
                <w:rFonts w:ascii="Tahoma" w:hAnsi="Tahoma" w:cs="Tahoma"/>
                <w:sz w:val="18"/>
                <w:szCs w:val="18"/>
              </w:rPr>
              <w:t xml:space="preserve"> на территории МТ</w:t>
            </w:r>
            <w:r w:rsidR="00031B9E">
              <w:rPr>
                <w:rFonts w:ascii="Tahoma" w:hAnsi="Tahoma" w:cs="Tahoma"/>
                <w:sz w:val="18"/>
                <w:szCs w:val="18"/>
              </w:rPr>
              <w:t>Ф ПАО «ГМК «Норильский никель»</w:t>
            </w:r>
            <w:r w:rsidR="00C247E6" w:rsidRPr="0030638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5FC092A" w14:textId="77777777" w:rsidR="00C247E6" w:rsidRPr="00306385" w:rsidRDefault="00C247E6" w:rsidP="008B50B0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Подтверждается гарантийным письмом поставщика.</w:t>
            </w:r>
          </w:p>
          <w:p w14:paraId="256F78EA" w14:textId="42F6F6F3" w:rsidR="00C247E6" w:rsidRPr="00306385" w:rsidRDefault="00C247E6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</w:t>
            </w:r>
            <w:r w:rsidR="00031B9E">
              <w:rPr>
                <w:rFonts w:ascii="Tahoma" w:hAnsi="Tahoma" w:cs="Tahoma"/>
                <w:sz w:val="18"/>
                <w:szCs w:val="18"/>
              </w:rPr>
              <w:t>8</w:t>
            </w:r>
            <w:r w:rsidRPr="00306385">
              <w:rPr>
                <w:rFonts w:ascii="Tahoma" w:hAnsi="Tahoma" w:cs="Tahoma"/>
                <w:sz w:val="18"/>
                <w:szCs w:val="18"/>
              </w:rPr>
              <w:t>.</w:t>
            </w:r>
            <w:r w:rsidR="00031B9E">
              <w:rPr>
                <w:rFonts w:ascii="Tahoma" w:hAnsi="Tahoma" w:cs="Tahoma"/>
                <w:sz w:val="18"/>
                <w:szCs w:val="18"/>
              </w:rPr>
              <w:t>3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714FB1">
              <w:rPr>
                <w:rFonts w:ascii="Tahoma" w:hAnsi="Tahoma" w:cs="Tahoma"/>
                <w:sz w:val="18"/>
                <w:szCs w:val="18"/>
              </w:rPr>
              <w:t>Предоставление плана п</w:t>
            </w:r>
            <w:r w:rsidR="00837A20">
              <w:rPr>
                <w:rFonts w:ascii="Tahoma" w:hAnsi="Tahoma" w:cs="Tahoma"/>
                <w:sz w:val="18"/>
                <w:szCs w:val="18"/>
              </w:rPr>
              <w:t>роизводства работ по монтажу бло</w:t>
            </w:r>
            <w:r w:rsidR="00714FB1">
              <w:rPr>
                <w:rFonts w:ascii="Tahoma" w:hAnsi="Tahoma" w:cs="Tahoma"/>
                <w:sz w:val="18"/>
                <w:szCs w:val="18"/>
              </w:rPr>
              <w:t>к-модулей.</w:t>
            </w:r>
          </w:p>
        </w:tc>
      </w:tr>
      <w:tr w:rsidR="006F5B7D" w:rsidRPr="00306385" w14:paraId="0DA7D43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D9A" w14:textId="798D13F5" w:rsidR="006F5B7D" w:rsidRPr="00306385" w:rsidRDefault="006F5B7D" w:rsidP="00031B9E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</w:t>
            </w:r>
            <w:r w:rsidR="00031B9E">
              <w:rPr>
                <w:rFonts w:ascii="Tahoma" w:hAnsi="Tahoma" w:cs="Tahoma"/>
                <w:sz w:val="18"/>
                <w:szCs w:val="18"/>
              </w:rPr>
              <w:t>9</w:t>
            </w:r>
            <w:r w:rsidRPr="00306385">
              <w:rPr>
                <w:rFonts w:ascii="Tahoma" w:hAnsi="Tahoma" w:cs="Tahoma"/>
                <w:sz w:val="18"/>
                <w:szCs w:val="18"/>
              </w:rPr>
              <w:t>. Иные требования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5E0F" w14:textId="7226CCB2" w:rsidR="00714FB1" w:rsidRPr="00714FB1" w:rsidRDefault="006F5B7D" w:rsidP="00714FB1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>1</w:t>
            </w:r>
            <w:r w:rsidR="00031B9E">
              <w:rPr>
                <w:rFonts w:ascii="Tahoma" w:hAnsi="Tahoma" w:cs="Tahoma"/>
                <w:sz w:val="18"/>
                <w:szCs w:val="18"/>
              </w:rPr>
              <w:t>9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.1 </w:t>
            </w:r>
            <w:r w:rsidR="00714FB1" w:rsidRPr="00714FB1">
              <w:rPr>
                <w:rFonts w:ascii="Tahoma" w:hAnsi="Tahoma" w:cs="Tahoma"/>
                <w:sz w:val="18"/>
                <w:szCs w:val="18"/>
              </w:rPr>
              <w:t xml:space="preserve">Наличие письменного согласия Поставщика с подлежащими включению в договор «Требованиями в области ПБиОТ и ООС и ответственность за их неисполнение и/или ненадлежащее исполнение», размещенных на официальном сайте ПАО «ГМК «Норильский никель» по адресу </w:t>
            </w:r>
            <w:hyperlink r:id="rId10" w:anchor="obshchie-usloviya-dogovorov" w:history="1">
              <w:r w:rsidR="00714FB1" w:rsidRPr="00DA5D7D">
                <w:rPr>
                  <w:rStyle w:val="a6"/>
                  <w:rFonts w:ascii="Tahoma" w:hAnsi="Tahoma" w:cs="Tahoma"/>
                  <w:sz w:val="18"/>
                  <w:szCs w:val="18"/>
                </w:rPr>
                <w:t>https://www.nornickel.ru/suppliers/contractual-documentation/#obshchie-usloviya-dogovorov</w:t>
              </w:r>
            </w:hyperlink>
            <w:r w:rsidR="00714FB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14FB1" w:rsidRPr="00714FB1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1FA81FD2" w14:textId="77777777" w:rsidR="00714FB1" w:rsidRPr="00714FB1" w:rsidRDefault="00714FB1" w:rsidP="00714FB1">
            <w:pPr>
              <w:rPr>
                <w:rFonts w:ascii="Tahoma" w:hAnsi="Tahoma" w:cs="Tahoma"/>
                <w:sz w:val="18"/>
                <w:szCs w:val="18"/>
              </w:rPr>
            </w:pPr>
            <w:r w:rsidRPr="00714FB1">
              <w:rPr>
                <w:rFonts w:ascii="Tahoma" w:hAnsi="Tahoma" w:cs="Tahoma"/>
                <w:sz w:val="18"/>
                <w:szCs w:val="18"/>
              </w:rPr>
              <w:t>Подтверждается предоставлением Поставщиком письменного согласия с условиями (в т.ч. с включением их в договор), оформленного в виде письма.</w:t>
            </w:r>
          </w:p>
          <w:p w14:paraId="2BC393F0" w14:textId="48BF7B2B" w:rsidR="00237AAB" w:rsidRDefault="00714FB1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714FB1">
              <w:rPr>
                <w:rFonts w:ascii="Tahoma" w:hAnsi="Tahoma" w:cs="Tahoma"/>
                <w:sz w:val="18"/>
                <w:szCs w:val="18"/>
              </w:rPr>
              <w:t>Подтверждается письмом поставщика.</w:t>
            </w:r>
          </w:p>
          <w:p w14:paraId="27F93FE7" w14:textId="32215BE8" w:rsidR="00F03B92" w:rsidRDefault="00F03B92" w:rsidP="00837A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19.2. </w:t>
            </w:r>
            <w:r w:rsidRPr="00F03B92">
              <w:rPr>
                <w:rFonts w:ascii="Tahoma" w:hAnsi="Tahoma" w:cs="Tahoma"/>
                <w:sz w:val="18"/>
                <w:szCs w:val="18"/>
              </w:rPr>
              <w:t>В стоимость товаров должны быть включены все налоги и обязательные платежи все расходы на упаковку, маркировку, транспортировку</w:t>
            </w:r>
            <w:r w:rsidR="0014314E">
              <w:rPr>
                <w:rFonts w:ascii="Tahoma" w:hAnsi="Tahoma" w:cs="Tahoma"/>
                <w:sz w:val="18"/>
                <w:szCs w:val="18"/>
              </w:rPr>
              <w:t>, монтаж</w:t>
            </w:r>
            <w:r w:rsidRPr="00F03B92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28E3CC5" w14:textId="77777777" w:rsidR="006879B5" w:rsidRDefault="006879B5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714FB1">
              <w:rPr>
                <w:rFonts w:ascii="Tahoma" w:hAnsi="Tahoma" w:cs="Tahoma"/>
                <w:sz w:val="18"/>
                <w:szCs w:val="18"/>
              </w:rPr>
              <w:t>Подтверждается письмом поставщика.</w:t>
            </w:r>
          </w:p>
          <w:p w14:paraId="10E7A158" w14:textId="416609AE" w:rsidR="006879B5" w:rsidRDefault="006879B5" w:rsidP="00837A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19.3. </w:t>
            </w:r>
            <w:r w:rsidRPr="006879B5">
              <w:rPr>
                <w:rFonts w:ascii="Tahoma" w:hAnsi="Tahoma" w:cs="Tahoma"/>
                <w:sz w:val="18"/>
                <w:szCs w:val="18"/>
              </w:rPr>
              <w:t>Поставляемый товар должен быть новым (который не был в употреблении, не были восстановлены потребительские свойства).</w:t>
            </w:r>
          </w:p>
          <w:p w14:paraId="7D4BE229" w14:textId="77777777" w:rsidR="006879B5" w:rsidRDefault="006879B5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714FB1">
              <w:rPr>
                <w:rFonts w:ascii="Tahoma" w:hAnsi="Tahoma" w:cs="Tahoma"/>
                <w:sz w:val="18"/>
                <w:szCs w:val="18"/>
              </w:rPr>
              <w:t>Подтверждается письмом поставщика.</w:t>
            </w:r>
          </w:p>
          <w:p w14:paraId="7F3C1CC7" w14:textId="78CFF5CB" w:rsidR="004A624F" w:rsidRDefault="004A624F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4A624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 xml:space="preserve">.4. </w:t>
            </w:r>
            <w:r w:rsidRPr="004A624F">
              <w:rPr>
                <w:rFonts w:ascii="Tahoma" w:hAnsi="Tahoma" w:cs="Tahoma"/>
                <w:sz w:val="18"/>
                <w:szCs w:val="18"/>
              </w:rPr>
              <w:t xml:space="preserve">Поставщик предоставляет Заказчику гарантию на выполненные работы </w:t>
            </w:r>
            <w:r w:rsidR="0063727F">
              <w:rPr>
                <w:rFonts w:ascii="Tahoma" w:hAnsi="Tahoma" w:cs="Tahoma"/>
                <w:sz w:val="18"/>
                <w:szCs w:val="18"/>
              </w:rPr>
              <w:t xml:space="preserve">и продукцию </w:t>
            </w:r>
            <w:r w:rsidRPr="004A624F">
              <w:rPr>
                <w:rFonts w:ascii="Tahoma" w:hAnsi="Tahoma" w:cs="Tahoma"/>
                <w:sz w:val="18"/>
                <w:szCs w:val="18"/>
              </w:rPr>
              <w:t>сроком не менее</w:t>
            </w:r>
            <w:r w:rsidR="00D723C9">
              <w:rPr>
                <w:rFonts w:ascii="Tahoma" w:hAnsi="Tahoma" w:cs="Tahoma"/>
                <w:sz w:val="18"/>
                <w:szCs w:val="18"/>
              </w:rPr>
              <w:t xml:space="preserve"> 1 календарный год.</w:t>
            </w:r>
          </w:p>
          <w:p w14:paraId="50C76CDA" w14:textId="0392FAF3" w:rsidR="004A624F" w:rsidRPr="004A624F" w:rsidRDefault="004A624F" w:rsidP="00837A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Поставщик должен указать гарантийный срок в технико-коммерческом предложении.</w:t>
            </w:r>
          </w:p>
        </w:tc>
      </w:tr>
      <w:tr w:rsidR="006F5B7D" w:rsidRPr="00306385" w14:paraId="7BFE3CC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26D5" w14:textId="11EE23B2" w:rsidR="006F5B7D" w:rsidRPr="00306385" w:rsidRDefault="00837A20" w:rsidP="006F5B7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6F5B7D" w:rsidRPr="00306385">
              <w:rPr>
                <w:rFonts w:ascii="Tahoma" w:hAnsi="Tahoma" w:cs="Tahoma"/>
                <w:sz w:val="18"/>
                <w:szCs w:val="18"/>
              </w:rPr>
              <w:t>. Срок действия КП/ТКП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A5F3" w14:textId="448E923E" w:rsidR="006F5B7D" w:rsidRPr="00306385" w:rsidRDefault="006F5B7D" w:rsidP="00837A20">
            <w:pPr>
              <w:rPr>
                <w:rFonts w:ascii="Tahoma" w:hAnsi="Tahoma" w:cs="Tahoma"/>
                <w:sz w:val="18"/>
                <w:szCs w:val="18"/>
              </w:rPr>
            </w:pPr>
            <w:r w:rsidRPr="00306385">
              <w:rPr>
                <w:rFonts w:ascii="Tahoma" w:hAnsi="Tahoma" w:cs="Tahoma"/>
                <w:sz w:val="18"/>
                <w:szCs w:val="18"/>
              </w:rPr>
              <w:t xml:space="preserve">Не менее </w:t>
            </w:r>
            <w:r w:rsidR="00837A20">
              <w:rPr>
                <w:rFonts w:ascii="Tahoma" w:hAnsi="Tahoma" w:cs="Tahoma"/>
                <w:sz w:val="18"/>
                <w:szCs w:val="18"/>
              </w:rPr>
              <w:t>45</w:t>
            </w:r>
            <w:r w:rsidRPr="00306385">
              <w:rPr>
                <w:rFonts w:ascii="Tahoma" w:hAnsi="Tahoma" w:cs="Tahoma"/>
                <w:sz w:val="18"/>
                <w:szCs w:val="18"/>
              </w:rPr>
              <w:t xml:space="preserve"> календарных дней с даты направления</w:t>
            </w:r>
          </w:p>
        </w:tc>
      </w:tr>
    </w:tbl>
    <w:p w14:paraId="636DC461" w14:textId="77777777" w:rsidR="00B10AE3" w:rsidRPr="00306385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699291" w14:textId="77777777" w:rsidR="00B51002" w:rsidRPr="00306385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 xml:space="preserve">Закупочная процедура, является внутренней процедурой выбора </w:t>
      </w:r>
      <w:r w:rsidR="00B51002" w:rsidRPr="00306385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306385">
        <w:rPr>
          <w:rFonts w:ascii="Tahoma" w:hAnsi="Tahoma" w:cs="Tahoma"/>
          <w:sz w:val="18"/>
          <w:szCs w:val="18"/>
        </w:rPr>
        <w:t xml:space="preserve">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5BC5A9DE" w14:textId="27C90FA2" w:rsidR="00B10AE3" w:rsidRPr="00306385" w:rsidRDefault="00B51002" w:rsidP="00B10AE3">
      <w:pPr>
        <w:ind w:firstLine="567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Мурманский транспортный филиал ПАО «ГМК Норильский никель»</w:t>
      </w:r>
      <w:r w:rsidR="00B10AE3" w:rsidRPr="00306385">
        <w:rPr>
          <w:rFonts w:ascii="Tahoma" w:hAnsi="Tahoma" w:cs="Tahoma"/>
          <w:sz w:val="18"/>
          <w:szCs w:val="18"/>
        </w:rPr>
        <w:t xml:space="preserve">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49128DD4" w14:textId="65714C79" w:rsidR="00B10AE3" w:rsidRPr="00306385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</w:t>
      </w:r>
      <w:r w:rsidR="00B51002" w:rsidRPr="00306385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306385">
        <w:rPr>
          <w:rFonts w:ascii="Tahoma" w:hAnsi="Tahoma" w:cs="Tahoma"/>
          <w:sz w:val="18"/>
          <w:szCs w:val="18"/>
        </w:rPr>
        <w:t xml:space="preserve"> не возмещаются.</w:t>
      </w:r>
    </w:p>
    <w:p w14:paraId="5DA927EE" w14:textId="5FAF95F0" w:rsidR="00B10AE3" w:rsidRPr="00306385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</w:t>
      </w:r>
      <w:r w:rsidR="00B51002" w:rsidRPr="00306385">
        <w:rPr>
          <w:rFonts w:ascii="Tahoma" w:hAnsi="Tahoma" w:cs="Tahoma"/>
          <w:sz w:val="18"/>
          <w:szCs w:val="18"/>
        </w:rPr>
        <w:t xml:space="preserve">, указанный в параметрах конкурса в графе контактный </w:t>
      </w:r>
      <w:r w:rsidR="00B51002" w:rsidRPr="00306385">
        <w:rPr>
          <w:rFonts w:ascii="Tahoma" w:hAnsi="Tahoma" w:cs="Tahoma"/>
          <w:sz w:val="18"/>
          <w:szCs w:val="18"/>
          <w:lang w:val="en-US"/>
        </w:rPr>
        <w:t>email</w:t>
      </w:r>
      <w:r w:rsidRPr="00306385">
        <w:rPr>
          <w:rFonts w:ascii="Tahoma" w:hAnsi="Tahoma" w:cs="Tahoma"/>
          <w:sz w:val="18"/>
          <w:szCs w:val="18"/>
        </w:rPr>
        <w:t>.</w:t>
      </w:r>
    </w:p>
    <w:p w14:paraId="47D5FA51" w14:textId="5427030E" w:rsidR="00B10AE3" w:rsidRPr="00306385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ab/>
        <w:t xml:space="preserve">Передача информации другим подразделениям </w:t>
      </w:r>
      <w:r w:rsidR="003D2DEC" w:rsidRPr="00306385">
        <w:rPr>
          <w:rFonts w:ascii="Tahoma" w:hAnsi="Tahoma" w:cs="Tahoma"/>
          <w:sz w:val="18"/>
          <w:szCs w:val="18"/>
        </w:rPr>
        <w:t>Мурманского транспортного филиала ПАО «ГМК Норильский никель»</w:t>
      </w:r>
      <w:r w:rsidRPr="00306385">
        <w:rPr>
          <w:rFonts w:ascii="Tahoma" w:hAnsi="Tahoma" w:cs="Tahoma"/>
          <w:sz w:val="18"/>
          <w:szCs w:val="18"/>
        </w:rPr>
        <w:t xml:space="preserve"> до объявления результатов Закупочной процедуры не допускается, при обнаружении подобных фактов, </w:t>
      </w:r>
      <w:r w:rsidR="003D2DEC" w:rsidRPr="00306385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</w:t>
      </w:r>
      <w:r w:rsidRPr="00306385">
        <w:rPr>
          <w:rFonts w:ascii="Tahoma" w:hAnsi="Tahoma" w:cs="Tahoma"/>
          <w:sz w:val="18"/>
          <w:szCs w:val="18"/>
        </w:rPr>
        <w:t xml:space="preserve"> оставляет за собой право исключить потенциального Поставщика из дальнейшего участия в Закупочной процедуре).</w:t>
      </w:r>
    </w:p>
    <w:p w14:paraId="76F0DAF3" w14:textId="70B9025B" w:rsidR="00B10AE3" w:rsidRPr="00306385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842DAF" w14:textId="77C69C18" w:rsidR="00E71538" w:rsidRPr="00306385" w:rsidRDefault="00E71538" w:rsidP="00E71538">
      <w:pPr>
        <w:ind w:right="333" w:firstLine="567"/>
        <w:rPr>
          <w:rFonts w:ascii="Tahoma" w:hAnsi="Tahoma" w:cs="Tahoma"/>
          <w:b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Приложение</w:t>
      </w:r>
      <w:r w:rsidRPr="00306385">
        <w:rPr>
          <w:rFonts w:ascii="Tahoma" w:hAnsi="Tahoma" w:cs="Tahoma"/>
          <w:b/>
          <w:sz w:val="18"/>
          <w:szCs w:val="18"/>
        </w:rPr>
        <w:t>:</w:t>
      </w:r>
    </w:p>
    <w:p w14:paraId="3AFE1A92" w14:textId="6E2B1045" w:rsidR="0054159A" w:rsidRPr="00306385" w:rsidRDefault="0054159A" w:rsidP="0054159A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Техническое задание БМ 3000*2400*2400.</w:t>
      </w:r>
    </w:p>
    <w:p w14:paraId="414E2696" w14:textId="051C27B9" w:rsidR="0054159A" w:rsidRPr="00306385" w:rsidRDefault="0054159A" w:rsidP="0054159A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Техническое задание БМ 4000*4800*2400.</w:t>
      </w:r>
    </w:p>
    <w:p w14:paraId="27F5D672" w14:textId="1FBB6A29" w:rsidR="00A12B58" w:rsidRPr="00306385" w:rsidRDefault="00E71538" w:rsidP="00293E16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lastRenderedPageBreak/>
        <w:t>Текст Заявки на участие в Закупочной процедуре.</w:t>
      </w:r>
    </w:p>
    <w:p w14:paraId="1B0BB311" w14:textId="6FC20B28" w:rsidR="00A12B58" w:rsidRPr="00306385" w:rsidRDefault="00A12B58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 xml:space="preserve">Декларация конфликтов интересов </w:t>
      </w:r>
    </w:p>
    <w:p w14:paraId="0233000F" w14:textId="161E7853" w:rsidR="004F6B11" w:rsidRPr="00306385" w:rsidRDefault="004F6B11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06385">
        <w:rPr>
          <w:rFonts w:ascii="Tahoma" w:hAnsi="Tahoma" w:cs="Tahoma"/>
          <w:sz w:val="18"/>
          <w:szCs w:val="18"/>
        </w:rPr>
        <w:t>Типовая форма договора</w:t>
      </w:r>
    </w:p>
    <w:p w14:paraId="0B37D76F" w14:textId="34E14876" w:rsidR="00E71538" w:rsidRPr="00306385" w:rsidRDefault="00E71538" w:rsidP="009165D4">
      <w:pPr>
        <w:ind w:left="1287" w:right="333"/>
        <w:rPr>
          <w:rFonts w:ascii="Tahoma" w:hAnsi="Tahoma" w:cs="Tahoma"/>
          <w:sz w:val="18"/>
          <w:szCs w:val="18"/>
        </w:rPr>
      </w:pPr>
    </w:p>
    <w:bookmarkEnd w:id="6"/>
    <w:bookmarkEnd w:id="7"/>
    <w:p w14:paraId="049C4955" w14:textId="77777777" w:rsidR="00E71538" w:rsidRPr="007F444A" w:rsidRDefault="00E71538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sectPr w:rsidR="00E71538" w:rsidRPr="007F444A" w:rsidSect="001125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2D8AF" w14:textId="77777777" w:rsidR="00597570" w:rsidRDefault="00597570" w:rsidP="00B10AE3">
      <w:r>
        <w:separator/>
      </w:r>
    </w:p>
  </w:endnote>
  <w:endnote w:type="continuationSeparator" w:id="0">
    <w:p w14:paraId="27C8DF35" w14:textId="77777777" w:rsidR="00597570" w:rsidRDefault="00597570" w:rsidP="00B1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840A4" w14:textId="77777777" w:rsidR="00597570" w:rsidRDefault="00597570" w:rsidP="00B10AE3">
      <w:r>
        <w:separator/>
      </w:r>
    </w:p>
  </w:footnote>
  <w:footnote w:type="continuationSeparator" w:id="0">
    <w:p w14:paraId="028446B0" w14:textId="77777777" w:rsidR="00597570" w:rsidRDefault="00597570" w:rsidP="00B1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28AB"/>
    <w:multiLevelType w:val="hybridMultilevel"/>
    <w:tmpl w:val="E774E1BC"/>
    <w:lvl w:ilvl="0" w:tplc="5A0E4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A7"/>
    <w:rsid w:val="0000170C"/>
    <w:rsid w:val="00014C3B"/>
    <w:rsid w:val="00016B08"/>
    <w:rsid w:val="00016CD8"/>
    <w:rsid w:val="00021A17"/>
    <w:rsid w:val="00022978"/>
    <w:rsid w:val="00031B9E"/>
    <w:rsid w:val="00065A18"/>
    <w:rsid w:val="00087E59"/>
    <w:rsid w:val="000B052E"/>
    <w:rsid w:val="000B0CF2"/>
    <w:rsid w:val="000B2A29"/>
    <w:rsid w:val="000B44FF"/>
    <w:rsid w:val="000C0D54"/>
    <w:rsid w:val="000C2CB7"/>
    <w:rsid w:val="000E6B00"/>
    <w:rsid w:val="000F76F7"/>
    <w:rsid w:val="00112576"/>
    <w:rsid w:val="001248B1"/>
    <w:rsid w:val="00126518"/>
    <w:rsid w:val="001329EF"/>
    <w:rsid w:val="0014314E"/>
    <w:rsid w:val="00156E93"/>
    <w:rsid w:val="0017031C"/>
    <w:rsid w:val="00197315"/>
    <w:rsid w:val="001B0638"/>
    <w:rsid w:val="001B2692"/>
    <w:rsid w:val="001C1C0B"/>
    <w:rsid w:val="001F00FC"/>
    <w:rsid w:val="002110CC"/>
    <w:rsid w:val="00237AAB"/>
    <w:rsid w:val="00244A2E"/>
    <w:rsid w:val="0025029F"/>
    <w:rsid w:val="00271148"/>
    <w:rsid w:val="002756AF"/>
    <w:rsid w:val="002777D0"/>
    <w:rsid w:val="00293E16"/>
    <w:rsid w:val="00294F43"/>
    <w:rsid w:val="002A0B1D"/>
    <w:rsid w:val="002C6B8C"/>
    <w:rsid w:val="002E286A"/>
    <w:rsid w:val="00306385"/>
    <w:rsid w:val="00306498"/>
    <w:rsid w:val="003155B6"/>
    <w:rsid w:val="00333FF4"/>
    <w:rsid w:val="00345742"/>
    <w:rsid w:val="003464F5"/>
    <w:rsid w:val="00370339"/>
    <w:rsid w:val="003749EF"/>
    <w:rsid w:val="00392D4A"/>
    <w:rsid w:val="003B111F"/>
    <w:rsid w:val="003C64CF"/>
    <w:rsid w:val="003D2DEC"/>
    <w:rsid w:val="003D7863"/>
    <w:rsid w:val="00411A4F"/>
    <w:rsid w:val="00422EDE"/>
    <w:rsid w:val="00426FE1"/>
    <w:rsid w:val="004355CD"/>
    <w:rsid w:val="004408FA"/>
    <w:rsid w:val="00446CE9"/>
    <w:rsid w:val="00462309"/>
    <w:rsid w:val="0046471E"/>
    <w:rsid w:val="00492DE9"/>
    <w:rsid w:val="004A12F5"/>
    <w:rsid w:val="004A624F"/>
    <w:rsid w:val="004B75F9"/>
    <w:rsid w:val="004F6B11"/>
    <w:rsid w:val="004F7C28"/>
    <w:rsid w:val="00500EE4"/>
    <w:rsid w:val="00521DBA"/>
    <w:rsid w:val="005265F9"/>
    <w:rsid w:val="0053631D"/>
    <w:rsid w:val="0054159A"/>
    <w:rsid w:val="00553B2C"/>
    <w:rsid w:val="005765A2"/>
    <w:rsid w:val="00577FB6"/>
    <w:rsid w:val="005927B5"/>
    <w:rsid w:val="00597570"/>
    <w:rsid w:val="005C06B1"/>
    <w:rsid w:val="005C20C4"/>
    <w:rsid w:val="005D683D"/>
    <w:rsid w:val="006041EA"/>
    <w:rsid w:val="00614886"/>
    <w:rsid w:val="006360ED"/>
    <w:rsid w:val="0063727F"/>
    <w:rsid w:val="00647486"/>
    <w:rsid w:val="00656F3A"/>
    <w:rsid w:val="006702B8"/>
    <w:rsid w:val="006814BA"/>
    <w:rsid w:val="006822E8"/>
    <w:rsid w:val="006837B9"/>
    <w:rsid w:val="006879B5"/>
    <w:rsid w:val="006934E5"/>
    <w:rsid w:val="00695744"/>
    <w:rsid w:val="006B44DD"/>
    <w:rsid w:val="006E08D1"/>
    <w:rsid w:val="006F307A"/>
    <w:rsid w:val="006F3277"/>
    <w:rsid w:val="006F5B7D"/>
    <w:rsid w:val="007148CE"/>
    <w:rsid w:val="00714FB1"/>
    <w:rsid w:val="007314C5"/>
    <w:rsid w:val="007373D6"/>
    <w:rsid w:val="007379AB"/>
    <w:rsid w:val="007402B5"/>
    <w:rsid w:val="007619DB"/>
    <w:rsid w:val="00771FCC"/>
    <w:rsid w:val="00781CFA"/>
    <w:rsid w:val="007C22C1"/>
    <w:rsid w:val="007F444A"/>
    <w:rsid w:val="0080040F"/>
    <w:rsid w:val="00823A31"/>
    <w:rsid w:val="008332FB"/>
    <w:rsid w:val="00837A20"/>
    <w:rsid w:val="00847980"/>
    <w:rsid w:val="008577BC"/>
    <w:rsid w:val="00886A3F"/>
    <w:rsid w:val="008B50B0"/>
    <w:rsid w:val="008B62D3"/>
    <w:rsid w:val="008B7F62"/>
    <w:rsid w:val="008D2249"/>
    <w:rsid w:val="008E6F51"/>
    <w:rsid w:val="00911A32"/>
    <w:rsid w:val="009165D4"/>
    <w:rsid w:val="0092376E"/>
    <w:rsid w:val="00944F24"/>
    <w:rsid w:val="009570C6"/>
    <w:rsid w:val="00970DE4"/>
    <w:rsid w:val="0097162C"/>
    <w:rsid w:val="00971E58"/>
    <w:rsid w:val="009833C1"/>
    <w:rsid w:val="009921BC"/>
    <w:rsid w:val="009C67DB"/>
    <w:rsid w:val="009F0ACE"/>
    <w:rsid w:val="00A06754"/>
    <w:rsid w:val="00A11D47"/>
    <w:rsid w:val="00A12B58"/>
    <w:rsid w:val="00A17467"/>
    <w:rsid w:val="00A21C85"/>
    <w:rsid w:val="00A36142"/>
    <w:rsid w:val="00A77732"/>
    <w:rsid w:val="00AB6A0C"/>
    <w:rsid w:val="00AD34C2"/>
    <w:rsid w:val="00B050EA"/>
    <w:rsid w:val="00B10AE3"/>
    <w:rsid w:val="00B23F0E"/>
    <w:rsid w:val="00B40C6C"/>
    <w:rsid w:val="00B51002"/>
    <w:rsid w:val="00B51560"/>
    <w:rsid w:val="00B74EF5"/>
    <w:rsid w:val="00BA0DB2"/>
    <w:rsid w:val="00BA49D8"/>
    <w:rsid w:val="00BB11A7"/>
    <w:rsid w:val="00BB2971"/>
    <w:rsid w:val="00BB44A2"/>
    <w:rsid w:val="00BC2B9A"/>
    <w:rsid w:val="00BD58E9"/>
    <w:rsid w:val="00C07D62"/>
    <w:rsid w:val="00C163FB"/>
    <w:rsid w:val="00C247E6"/>
    <w:rsid w:val="00C40740"/>
    <w:rsid w:val="00C80630"/>
    <w:rsid w:val="00C911E1"/>
    <w:rsid w:val="00CA0CC0"/>
    <w:rsid w:val="00CB1DA7"/>
    <w:rsid w:val="00CB687B"/>
    <w:rsid w:val="00CC2F0E"/>
    <w:rsid w:val="00CF5B96"/>
    <w:rsid w:val="00D20B06"/>
    <w:rsid w:val="00D31C60"/>
    <w:rsid w:val="00D4176B"/>
    <w:rsid w:val="00D538C9"/>
    <w:rsid w:val="00D57AB0"/>
    <w:rsid w:val="00D66B1A"/>
    <w:rsid w:val="00D723C9"/>
    <w:rsid w:val="00D9141A"/>
    <w:rsid w:val="00D92748"/>
    <w:rsid w:val="00DB03E0"/>
    <w:rsid w:val="00DB35B1"/>
    <w:rsid w:val="00DC535F"/>
    <w:rsid w:val="00DD70A9"/>
    <w:rsid w:val="00DE4DE0"/>
    <w:rsid w:val="00DF2EB6"/>
    <w:rsid w:val="00E16F00"/>
    <w:rsid w:val="00E44E41"/>
    <w:rsid w:val="00E46C2F"/>
    <w:rsid w:val="00E55D04"/>
    <w:rsid w:val="00E62225"/>
    <w:rsid w:val="00E64CA4"/>
    <w:rsid w:val="00E71538"/>
    <w:rsid w:val="00EA41CF"/>
    <w:rsid w:val="00EC5708"/>
    <w:rsid w:val="00F03B92"/>
    <w:rsid w:val="00F30A95"/>
    <w:rsid w:val="00F31B1D"/>
    <w:rsid w:val="00F55385"/>
    <w:rsid w:val="00F94765"/>
    <w:rsid w:val="00FA3359"/>
    <w:rsid w:val="00FC3D56"/>
    <w:rsid w:val="00FC50EB"/>
    <w:rsid w:val="00FC666B"/>
    <w:rsid w:val="00FC7FCF"/>
    <w:rsid w:val="00FD0D49"/>
    <w:rsid w:val="00FE1FCF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06B6"/>
  <w15:chartTrackingRefBased/>
  <w15:docId w15:val="{B54FBA5C-35EE-405F-BDBC-161BD213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B10AE3"/>
    <w:rPr>
      <w:vertAlign w:val="superscript"/>
    </w:rPr>
  </w:style>
  <w:style w:type="paragraph" w:styleId="a4">
    <w:name w:val="footnote text"/>
    <w:basedOn w:val="a"/>
    <w:link w:val="a5"/>
    <w:uiPriority w:val="99"/>
    <w:rsid w:val="00B10AE3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B10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qFormat/>
    <w:rsid w:val="00B10AE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68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837B9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83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837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37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37B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aliases w:val="Заголовок_3,Bullet_IRAO,Мой Список,нумерация,AC List 01,Подпись рисунка,Table-Normal,RSHB_Table-Normal,List Paragraph1,A_Bullet,Bullet List,FooterText,numbered,Цветной список - Акцент 11,List Paragraph,Абзац списка1,2 заголовок,1,Lists,列出段落"/>
    <w:basedOn w:val="a"/>
    <w:link w:val="af"/>
    <w:uiPriority w:val="34"/>
    <w:qFormat/>
    <w:rsid w:val="00E622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Заголовок_3 Знак,Bullet_IRAO Знак,Мой Список Знак,нумерация Знак,AC List 01 Знак,Подпись рисунка Знак,Table-Normal Знак,RSHB_Table-Normal Знак,List Paragraph1 Знак,A_Bullet Знак,Bullet List Знак,FooterText Знак,numbered Знак,1 Знак"/>
    <w:link w:val="ae"/>
    <w:uiPriority w:val="34"/>
    <w:qFormat/>
    <w:locked/>
    <w:rsid w:val="00E62225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D20B06"/>
    <w:rPr>
      <w:color w:val="954F72" w:themeColor="followedHyperlink"/>
      <w:u w:val="single"/>
    </w:rPr>
  </w:style>
  <w:style w:type="paragraph" w:styleId="af1">
    <w:name w:val="No Spacing"/>
    <w:uiPriority w:val="1"/>
    <w:qFormat/>
    <w:rsid w:val="00A36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m.norni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6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Цикра Марина Владимировна</dc:creator>
  <cp:keywords/>
  <dc:description/>
  <cp:lastModifiedBy>Яковлева Анастасия Константиновна</cp:lastModifiedBy>
  <cp:revision>14</cp:revision>
  <dcterms:created xsi:type="dcterms:W3CDTF">2025-05-16T09:10:00Z</dcterms:created>
  <dcterms:modified xsi:type="dcterms:W3CDTF">2025-06-20T11:21:00Z</dcterms:modified>
</cp:coreProperties>
</file>